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FTV (Fortive) before writing the preview. Let me gather recent filings, transcripts, and news.Let me get recent stock price data and any recent news/analyst activity.# Fortive (FTV) — Q2 2026 Earnings Preview</w:t>
      </w:r>
      <w:r>
        <w:t xml:space="preserve"> </w:t>
      </w:r>
      <w:r>
        <w:rPr>
          <w:b/>
          <w:bCs/>
        </w:rPr>
        <w:t xml:space="preserve">Report date:</w:t>
      </w:r>
      <w:r>
        <w:t xml:space="preserve"> </w:t>
      </w:r>
      <w:r>
        <w:t xml:space="preserve">Wednesday, July 29, 2026 (2026Q2 Earnings Call) ·</w:t>
      </w:r>
      <w:r>
        <w:t xml:space="preserve"> </w:t>
      </w:r>
      <w:r>
        <w:rPr>
          <w:b/>
          <w:bCs/>
        </w:rPr>
        <w:t xml:space="preserve">Last close (7/28):</w:t>
      </w:r>
      <w:r>
        <w:t xml:space="preserve"> </w:t>
      </w:r>
      <w:r>
        <w:t xml:space="preserve">$64.11</w:t>
      </w:r>
    </w:p>
    <w:p>
      <w:r>
        <w:pict>
          <v:rect style="width:0;height:1.5pt" o:hralign="center" o:hrstd="t" o:hr="t"/>
        </w:pict>
      </w:r>
    </w:p>
    <w:bookmarkStart w:id="9" w:name="the-setup-in-one-paragraph"/>
    <w:p>
      <w:pPr>
        <w:pStyle w:val="Heading2"/>
      </w:pPr>
      <w:r>
        <w:t xml:space="preserve">The setup in one paragraph</w:t>
      </w:r>
    </w:p>
    <w:p>
      <w:pPr>
        <w:pStyle w:val="FirstParagraph"/>
      </w:pPr>
      <w:r>
        <w:t xml:space="preserve">This is the fourth quarter of "New Fortive" reporting after the June 28, 2025 spin-off of the Precision Technologies segment (now Ralliant), which left Fortive as a ~</w:t>
      </w:r>
      <m:oMath>
        <m:r>
          <m:t>4.3</m:t>
        </m:r>
        <m:r>
          <m:t>B</m:t>
        </m:r>
        <m:r>
          <m:rPr>
            <m:sty m:val="p"/>
          </m:rPr>
          <m:t>−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rPr>
            <m:sty m:val="p"/>
          </m:rPr>
          <m:t>,</m:t>
        </m:r>
        <m:r>
          <m:t>t</m:t>
        </m:r>
        <m:r>
          <m:t>w</m:t>
        </m:r>
        <m:r>
          <m:t>o</m:t>
        </m:r>
        <m:r>
          <m:rPr>
            <m:sty m:val="p"/>
          </m:rPr>
          <m:t>−</m:t>
        </m:r>
        <m:r>
          <m:t>s</m:t>
        </m:r>
        <m:r>
          <m:t>e</m:t>
        </m:r>
        <m:r>
          <m:t>g</m:t>
        </m:r>
        <m:r>
          <m:t>m</m:t>
        </m:r>
        <m:r>
          <m:t>e</m:t>
        </m:r>
        <m:r>
          <m:t>n</m:t>
        </m:r>
        <m:r>
          <m:t>t</m:t>
        </m:r>
        <m:r>
          <m:t>c</m:t>
        </m:r>
        <m:r>
          <m:t>o</m:t>
        </m:r>
        <m:r>
          <m:t>m</m:t>
        </m:r>
        <m:r>
          <m:t>p</m:t>
        </m:r>
        <m:r>
          <m:t>a</m:t>
        </m:r>
        <m:r>
          <m:t>n</m:t>
        </m:r>
        <m:r>
          <m:t>y</m:t>
        </m:r>
        <m:r>
          <m:rPr>
            <m:sty m:val="p"/>
          </m:rPr>
          <m:t>(</m:t>
        </m:r>
        <m:r>
          <m:t>I</m:t>
        </m:r>
        <m:r>
          <m:t>n</m:t>
        </m:r>
        <m:r>
          <m:t>t</m:t>
        </m:r>
        <m:r>
          <m:t>e</m:t>
        </m:r>
        <m:r>
          <m:t>l</m:t>
        </m:r>
        <m:r>
          <m:t>l</m:t>
        </m:r>
        <m:r>
          <m:t>i</m:t>
        </m:r>
        <m:r>
          <m:t>g</m:t>
        </m:r>
        <m:r>
          <m:t>e</m:t>
        </m:r>
        <m:r>
          <m:t>n</m:t>
        </m:r>
        <m:r>
          <m:t>t</m:t>
        </m:r>
        <m:r>
          <m:t>O</m:t>
        </m:r>
        <m:r>
          <m:t>p</m:t>
        </m:r>
        <m:r>
          <m:t>e</m:t>
        </m:r>
        <m:r>
          <m:t>r</m:t>
        </m:r>
        <m:r>
          <m:t>a</m:t>
        </m:r>
        <m:r>
          <m:t>t</m:t>
        </m:r>
        <m:r>
          <m:t>i</m:t>
        </m:r>
        <m:r>
          <m:t>n</m:t>
        </m:r>
        <m:r>
          <m:t>g</m:t>
        </m:r>
        <m:r>
          <m:t>S</m:t>
        </m:r>
        <m:r>
          <m:t>o</m:t>
        </m:r>
        <m:r>
          <m:t>l</m:t>
        </m:r>
        <m:r>
          <m:t>u</m:t>
        </m:r>
        <m:r>
          <m:t>t</m:t>
        </m:r>
        <m:r>
          <m:t>i</m:t>
        </m:r>
        <m:r>
          <m:t>o</m:t>
        </m:r>
        <m:r>
          <m:t>n</m:t>
        </m:r>
        <m:r>
          <m:t>s</m:t>
        </m:r>
        <m:r>
          <m:t>a</m:t>
        </m:r>
        <m:r>
          <m:t>n</m:t>
        </m:r>
        <m:r>
          <m:t>d</m:t>
        </m:r>
        <m:r>
          <m:t>A</m:t>
        </m:r>
        <m:r>
          <m:t>d</m:t>
        </m:r>
        <m:r>
          <m:t>v</m:t>
        </m:r>
        <m:r>
          <m:t>a</m:t>
        </m:r>
        <m:r>
          <m:t>n</m:t>
        </m:r>
        <m:r>
          <m:t>c</m:t>
        </m:r>
        <m:r>
          <m:t>e</m:t>
        </m:r>
        <m:r>
          <m:t>d</m:t>
        </m:r>
        <m:r>
          <m:t>H</m:t>
        </m:r>
        <m:r>
          <m:t>e</m:t>
        </m:r>
        <m:r>
          <m:t>a</m:t>
        </m:r>
        <m:r>
          <m:t>l</m:t>
        </m:r>
        <m:r>
          <m:t>t</m:t>
        </m:r>
        <m:r>
          <m:t>h</m:t>
        </m:r>
        <m:r>
          <m:t>c</m:t>
        </m:r>
        <m:r>
          <m:t>a</m:t>
        </m:r>
        <m:r>
          <m:t>r</m:t>
        </m:r>
        <m:r>
          <m:t>e</m:t>
        </m:r>
        <m:r>
          <m:t>S</m:t>
        </m:r>
        <m:r>
          <m:t>o</m:t>
        </m:r>
        <m:r>
          <m:t>l</m:t>
        </m:r>
        <m:r>
          <m:t>u</m:t>
        </m:r>
        <m:r>
          <m:t>t</m:t>
        </m:r>
        <m:r>
          <m:t>i</m:t>
        </m:r>
        <m:r>
          <m:t>o</m:t>
        </m:r>
        <m:r>
          <m:t>n</m:t>
        </m:r>
        <m:r>
          <m:t>s</m:t>
        </m:r>
        <m:r>
          <m:rPr>
            <m:sty m:val="p"/>
          </m:rPr>
          <m:t>)</m:t>
        </m:r>
        <m:r>
          <m:t>r</m:t>
        </m:r>
        <m:r>
          <m:t>u</m:t>
        </m:r>
        <m:r>
          <m:t>n</m:t>
        </m:r>
        <m:r>
          <m:t>b</m:t>
        </m:r>
        <m:r>
          <m:t>y</m:t>
        </m:r>
        <m:r>
          <m:t>C</m:t>
        </m:r>
        <m:r>
          <m:t>E</m:t>
        </m:r>
        <m:r>
          <m:t>O</m:t>
        </m:r>
        <m:r>
          <m:t>O</m:t>
        </m:r>
        <m:r>
          <m:t>l</m:t>
        </m:r>
        <m:r>
          <m:t>u</m:t>
        </m:r>
        <m:r>
          <m:t>m</m:t>
        </m:r>
        <m:r>
          <m:t>i</m:t>
        </m:r>
        <m:r>
          <m:t>d</m:t>
        </m:r>
        <m:r>
          <m:t>e</m:t>
        </m:r>
        <m:r>
          <m:t>S</m:t>
        </m:r>
        <m:r>
          <m:t>o</m:t>
        </m:r>
        <m:r>
          <m:t>r</m:t>
        </m:r>
        <m:r>
          <m:t>o</m:t>
        </m:r>
        <m:r>
          <m:t>y</m:t>
        </m:r>
        <m:r>
          <m:t>e</m:t>
        </m:r>
        <m:r>
          <m:t>a</m:t>
        </m:r>
        <m:r>
          <m:t>n</m:t>
        </m:r>
        <m:r>
          <m:t>d</m:t>
        </m:r>
        <m:r>
          <m:t>C</m:t>
        </m:r>
        <m:r>
          <m:t>F</m:t>
        </m:r>
        <m:r>
          <m:t>O</m:t>
        </m:r>
        <m:r>
          <m:t>M</m:t>
        </m:r>
        <m:r>
          <m:t>a</m:t>
        </m:r>
        <m:r>
          <m:t>r</m:t>
        </m:r>
        <m:r>
          <m:t>k</m:t>
        </m:r>
        <m:r>
          <m:t>O</m:t>
        </m:r>
        <m:r>
          <m:t>k</m:t>
        </m:r>
        <m:r>
          <m:t>e</m:t>
        </m:r>
        <m:r>
          <m:t>r</m:t>
        </m:r>
        <m:r>
          <m:t>s</m:t>
        </m:r>
        <m:r>
          <m:t>t</m:t>
        </m:r>
        <m:r>
          <m:t>r</m:t>
        </m:r>
        <m:r>
          <m:t>o</m:t>
        </m:r>
        <m:r>
          <m:t>m</m:t>
        </m:r>
        <m:r>
          <m:rPr>
            <m:sty m:val="p"/>
          </m:rPr>
          <m:t>.</m:t>
        </m:r>
        <m:r>
          <m:t>T</m:t>
        </m:r>
        <m:r>
          <m:t>h</m:t>
        </m:r>
        <m:r>
          <m:t>e</m:t>
        </m:r>
        <m:r>
          <m:t>s</m:t>
        </m:r>
        <m:r>
          <m:t>t</m:t>
        </m:r>
        <m:r>
          <m:t>o</m:t>
        </m:r>
        <m:r>
          <m:t>c</m:t>
        </m:r>
        <m:r>
          <m:t>k</m:t>
        </m:r>
        <m:r>
          <m:t>h</m:t>
        </m:r>
        <m:r>
          <m:t>a</m:t>
        </m:r>
        <m:r>
          <m:t>s</m:t>
        </m:r>
        <m:r>
          <m:t>b</m:t>
        </m:r>
        <m:r>
          <m:t>e</m:t>
        </m:r>
        <m:r>
          <m:t>e</m:t>
        </m:r>
        <m:r>
          <m:t>n</m:t>
        </m:r>
        <m:r>
          <m:t>a</m:t>
        </m:r>
        <m:r>
          <m:t>s</m:t>
        </m:r>
        <m:r>
          <m:t>t</m:t>
        </m:r>
        <m:r>
          <m:t>r</m:t>
        </m:r>
        <m:r>
          <m:t>o</m:t>
        </m:r>
        <m:r>
          <m:t>n</m:t>
        </m:r>
        <m:r>
          <m:t>g</m:t>
        </m:r>
        <m:r>
          <m:t>p</m:t>
        </m:r>
        <m:r>
          <m:t>e</m:t>
        </m:r>
        <m:r>
          <m:t>r</m:t>
        </m:r>
        <m:r>
          <m:t>f</m:t>
        </m:r>
        <m:r>
          <m:t>o</m:t>
        </m:r>
        <m:r>
          <m:t>r</m:t>
        </m:r>
        <m:r>
          <m:t>m</m:t>
        </m:r>
        <m:r>
          <m:t>e</m:t>
        </m:r>
        <m:r>
          <m:t>r</m:t>
        </m:r>
        <m:r>
          <m:rPr>
            <m:sty m:val="p"/>
          </m:rPr>
          <m:t>—</m:t>
        </m:r>
        <m:r>
          <m:t>u</m:t>
        </m:r>
        <m:r>
          <m:t>p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t>26</m:t>
        </m:r>
      </m:oMath>
      <w:r>
        <w:t xml:space="preserve">51 immediately post-spin to a new high of $64.11 into the print, and up ~16% YTD from a $55 year-end 2025 base.</w:t>
      </w:r>
      <w:r>
        <w:t xml:space="preserve"> </w:t>
      </w:r>
      <w:r>
        <w:rPr>
          <w:b/>
          <w:bCs/>
        </w:rPr>
        <w:t xml:space="preserve">Expectations are elevated, so the bar for a positive reaction is high.</w:t>
      </w:r>
      <w:r>
        <w:t xml:space="preserve"> </w:t>
      </w:r>
      <w:r>
        <w:t xml:space="preserve">The central question tomorrow: does management convert its "trending toward the upper half" of the FY26 EPS range into an outright guidance raise?</w:t>
      </w:r>
    </w:p>
    <w:p>
      <w:r>
        <w:pict>
          <v:rect style="width:0;height:1.5pt" o:hralign="center" o:hrstd="t" o:hr="t"/>
        </w:pict>
      </w:r>
    </w:p>
    <w:bookmarkEnd w:id="9"/>
    <w:bookmarkStart w:id="16" w:name="what-to-focus-on"/>
    <w:p>
      <w:pPr>
        <w:pStyle w:val="Heading2"/>
      </w:pPr>
      <w:r>
        <w:t xml:space="preserve">What to focus on</w:t>
      </w:r>
    </w:p>
    <w:bookmarkStart w:id="10" w:name="X9dcb709a464eea791265b7367db08931288606a"/>
    <w:p>
      <w:pPr>
        <w:pStyle w:val="Heading3"/>
      </w:pPr>
      <w:r>
        <w:t xml:space="preserve">1. The guidance signal is the whole ballgame</w:t>
      </w:r>
    </w:p>
    <w:p>
      <w:pPr>
        <w:pStyle w:val="FirstParagraph"/>
      </w:pPr>
      <w:r>
        <w:t xml:space="preserve">On the Q1 call (4/30), management</w:t>
      </w:r>
      <w:r>
        <w:t xml:space="preserve"> </w:t>
      </w:r>
      <w:r>
        <w:rPr>
          <w:b/>
          <w:bCs/>
        </w:rPr>
        <w:t xml:space="preserve">reaffirmed FY26 adjusted EPS of</w:t>
      </w:r>
      <w:r>
        <w:rPr>
          <w:b/>
          <w:bCs/>
        </w:rPr>
        <w:t xml:space="preserve"> </w:t>
      </w:r>
      <m:oMath>
        <m:r>
          <m:t>2.90</m:t>
        </m:r>
        <m:r>
          <m:rPr>
            <m:sty m:val="p"/>
          </m:rPr>
          <m:t>–</m:t>
        </m:r>
      </m:oMath>
      <w:r>
        <w:rPr>
          <w:b/>
          <w:bCs/>
        </w:rPr>
        <w:t xml:space="preserve">3.00 and said results were "trending toward the upper half of that range."</w:t>
      </w:r>
      <w:r>
        <w:t xml:space="preserve"> </w:t>
      </w:r>
      <w:r>
        <w:t xml:space="preserve">They also said core growth of 2–3% is "trending towards the upper end." With the stock at highs, investors will likely need one of two things to stay constructive:</w:t>
      </w:r>
    </w:p>
    <w:p>
      <w:pPr>
        <w:pStyle w:val="Compact"/>
        <w:numPr>
          <w:ilvl w:val="0"/>
          <w:numId w:val="1001"/>
        </w:numPr>
      </w:pPr>
      <w:r>
        <w:t xml:space="preserve">A formal</w:t>
      </w:r>
      <w:r>
        <w:t xml:space="preserve"> </w:t>
      </w:r>
      <w:r>
        <w:rPr>
          <w:b/>
          <w:bCs/>
        </w:rPr>
        <w:t xml:space="preserve">raise/narrowing</w:t>
      </w:r>
      <w:r>
        <w:t xml:space="preserve"> </w:t>
      </w:r>
      <w:r>
        <w:t xml:space="preserve">of the EPS range (e.g., to the upper half or above $3.00), and/or</w:t>
      </w:r>
    </w:p>
    <w:p>
      <w:pPr>
        <w:pStyle w:val="Compact"/>
        <w:numPr>
          <w:ilvl w:val="0"/>
          <w:numId w:val="1001"/>
        </w:numPr>
      </w:pPr>
      <w:r>
        <w:t xml:space="preserve">Confirmation of core growth toward/above 3%.</w:t>
      </w:r>
    </w:p>
    <w:p>
      <w:pPr>
        <w:pStyle w:val="FirstParagraph"/>
      </w:pPr>
      <w:r>
        <w:t xml:space="preserve">A simple reaffirmation with the same "upper half" language may be treated as a disappointment given where the stock trades.</w:t>
      </w:r>
    </w:p>
    <w:bookmarkEnd w:id="10"/>
    <w:bookmarkStart w:id="11" w:name="X17df2942113d9e1032d1bd832ebae0a7581a52a"/>
    <w:p>
      <w:pPr>
        <w:pStyle w:val="Heading3"/>
      </w:pPr>
      <w:r>
        <w:t xml:space="preserve">2. Q2 math — don't get faked out by the "flat vs. Q1" framing</w:t>
      </w:r>
    </w:p>
    <w:p>
      <w:pPr>
        <w:pStyle w:val="FirstParagraph"/>
      </w:pPr>
      <w:r>
        <w:t xml:space="preserve">Management explicitly guided</w:t>
      </w:r>
      <w:r>
        <w:t xml:space="preserve"> </w:t>
      </w:r>
      <w:r>
        <w:rPr>
          <w:b/>
          <w:bCs/>
        </w:rPr>
        <w:t xml:space="preserve">Q2 and Q3 adjusted EPS to be "broadly similar" to Q1's $0.70.</w:t>
      </w:r>
      <w:r>
        <w:t xml:space="preserve"> </w:t>
      </w:r>
      <w:r>
        <w:t xml:space="preserve">This is unusual (Q2 normally steps up seasonally) and reflects two mechanical items:</w:t>
      </w:r>
    </w:p>
    <w:p>
      <w:pPr>
        <w:pStyle w:val="Compact"/>
        <w:numPr>
          <w:ilvl w:val="0"/>
          <w:numId w:val="1002"/>
        </w:numPr>
      </w:pPr>
      <w:r>
        <w:t xml:space="preserve">Q1 got an</w:t>
      </w:r>
      <w:r>
        <w:t xml:space="preserve"> </w:t>
      </w:r>
      <w:r>
        <w:rPr>
          <w:b/>
          <w:bCs/>
        </w:rPr>
        <w:t xml:space="preserve">~150 bps tailwind from extra selling days</w:t>
      </w:r>
      <w:r>
        <w:t xml:space="preserve"> </w:t>
      </w:r>
      <w:r>
        <w:t xml:space="preserve">that does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repeat in Q2.</w:t>
      </w:r>
    </w:p>
    <w:p>
      <w:pPr>
        <w:pStyle w:val="Compact"/>
        <w:numPr>
          <w:ilvl w:val="0"/>
          <w:numId w:val="1002"/>
        </w:numPr>
      </w:pPr>
      <w:r>
        <w:t xml:space="preserve">Q2 has an</w:t>
      </w:r>
      <w:r>
        <w:t xml:space="preserve"> </w:t>
      </w:r>
      <w:r>
        <w:rPr>
          <w:b/>
          <w:bCs/>
        </w:rPr>
        <w:t xml:space="preserve">easier comp</w:t>
      </w:r>
      <w:r>
        <w:t xml:space="preserve"> </w:t>
      </w:r>
      <w:r>
        <w:t xml:space="preserve">and an</w:t>
      </w:r>
      <w:r>
        <w:t xml:space="preserve"> </w:t>
      </w:r>
      <w:r>
        <w:rPr>
          <w:b/>
          <w:bCs/>
        </w:rPr>
        <w:t xml:space="preserve">~150 bps combined FX + M&amp;A tailwind</w:t>
      </w:r>
      <w:r>
        <w:t xml:space="preserve"> </w:t>
      </w:r>
      <w:r>
        <w:t xml:space="preserve">to reported revenue.</w:t>
      </w:r>
    </w:p>
    <w:p>
      <w:pPr>
        <w:pStyle w:val="Compact"/>
        <w:numPr>
          <w:ilvl w:val="0"/>
          <w:numId w:val="1002"/>
        </w:numPr>
      </w:pPr>
      <w:r>
        <w:t xml:space="preserve">Modeling notes:</w:t>
      </w:r>
      <w:r>
        <w:t xml:space="preserve"> </w:t>
      </w:r>
      <w:r>
        <w:rPr>
          <w:b/>
          <w:bCs/>
        </w:rPr>
        <w:t xml:space="preserve">Q2 tax rate in the mid-teens</w:t>
      </w:r>
      <w:r>
        <w:t xml:space="preserve">, full-year net interest ~$135M.</w:t>
      </w:r>
    </w:p>
    <w:p>
      <w:pPr>
        <w:pStyle w:val="FirstParagraph"/>
      </w:pPr>
      <w:r>
        <w:t xml:space="preserve">So ~$0.70 in Q2 adjusted EPS is the anchor. The quality of the beat matters more than the headline — watch</w:t>
      </w:r>
      <w:r>
        <w:t xml:space="preserve"> </w:t>
      </w:r>
      <w:r>
        <w:rPr>
          <w:b/>
          <w:bCs/>
        </w:rPr>
        <w:t xml:space="preserve">core (organic) growth</w:t>
      </w:r>
      <w:r>
        <w:t xml:space="preserve"> </w:t>
      </w:r>
      <w:r>
        <w:t xml:space="preserve">ex-selling-days, which normalized to roughly mid-single-digit levels in Q1.</w:t>
      </w:r>
    </w:p>
    <w:bookmarkEnd w:id="11"/>
    <w:bookmarkStart w:id="12" w:name="X9263f922e77697be86328efe37f1100229eb367"/>
    <w:p>
      <w:pPr>
        <w:pStyle w:val="Heading3"/>
      </w:pPr>
      <w:r>
        <w:t xml:space="preserve">3. Orders / short-cycle demand momentum</w:t>
      </w:r>
    </w:p>
    <w:p>
      <w:pPr>
        <w:pStyle w:val="FirstParagraph"/>
      </w:pPr>
      <w:r>
        <w:t xml:space="preserve">The most encouraging Q1 tell was that</w:t>
      </w:r>
      <w:r>
        <w:t xml:space="preserve"> </w:t>
      </w:r>
      <w:r>
        <w:rPr>
          <w:b/>
          <w:bCs/>
        </w:rPr>
        <w:t xml:space="preserve">orders grew faster than the 5.3% core / 7.7% reported revenue, broad-based across Fluke, FAL, Industrial Scientific and ASP.</w:t>
      </w:r>
      <w:r>
        <w:t xml:space="preserve"> </w:t>
      </w:r>
      <w:r>
        <w:t xml:space="preserve">Fluke book-to-bill was &gt;1 with healthy backlog and normalizing channel inventory. Any deceleration in orders or book-to-bill would be a red flag; continued &gt;1 book-to-bill supports the second-half growth narrative.</w:t>
      </w:r>
    </w:p>
    <w:bookmarkEnd w:id="12"/>
    <w:bookmarkStart w:id="13" w:name="X76a331d418716a71f15c9320240905b5a46eb81"/>
    <w:p>
      <w:pPr>
        <w:pStyle w:val="Heading3"/>
      </w:pPr>
      <w:r>
        <w:t xml:space="preserve">4. Segment-level watch items</w:t>
      </w:r>
    </w:p>
    <w:p>
      <w:pPr>
        <w:pStyle w:val="FirstParagraph"/>
      </w:pPr>
      <w:r>
        <w:rPr>
          <w:b/>
          <w:bCs/>
        </w:rPr>
        <w:t xml:space="preserve">Intelligent Operating Solutions (~70% of revenue; Fluke is ~40% of the whole company):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Data center theme at Fluke</w:t>
      </w:r>
      <w:r>
        <w:t xml:space="preserve"> </w:t>
      </w:r>
      <w:r>
        <w:t xml:space="preserve">— the CertiFiber Max launch is driving pull-through of power quality, battery, imaging and calibration tools. This is the key structural growth story; look for hard data points/spec-in progress with hyperscalers.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Facility &amp; Asset Lifecycle (ServiceChannel, Gordian)</w:t>
      </w:r>
      <w:r>
        <w:t xml:space="preserve"> </w:t>
      </w:r>
      <w:r>
        <w:t xml:space="preserve">— grew faster than the segment in Q1, led by ServiceChannel; AI features are being framed as a growth driver, not a threat. Watch ARR/GDR/NDR commentary.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Gordian's June quarter</w:t>
      </w:r>
      <w:r>
        <w:t xml:space="preserve"> </w:t>
      </w:r>
      <w:r>
        <w:t xml:space="preserve">is seasonally important due to state/local government fiscal year-end. Management said nothing "extra normal" is baked into guidance, so this is a potential Q2 upside swing factor after a weak comp last year.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Gas detection (Industrial Scientific)</w:t>
      </w:r>
      <w:r>
        <w:t xml:space="preserve"> </w:t>
      </w:r>
      <w:r>
        <w:t xml:space="preserve">— Hardware-as-a-Service share gains; Middle East rebuild demand is an emerging (small) tailwind.</w:t>
      </w:r>
    </w:p>
    <w:p>
      <w:pPr>
        <w:pStyle w:val="FirstParagraph"/>
      </w:pPr>
      <w:r>
        <w:rPr>
          <w:b/>
          <w:bCs/>
        </w:rPr>
        <w:t xml:space="preserve">Advanced Healthcare Solutions (~30%; ASP sterilization + Provation software):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Capital equipment recovery</w:t>
      </w:r>
      <w:r>
        <w:t xml:space="preserve"> </w:t>
      </w:r>
      <w:r>
        <w:t xml:space="preserve">— low-temperature sterilization capital showed modest sequential improvement, but</w:t>
      </w:r>
      <w:r>
        <w:t xml:space="preserve"> </w:t>
      </w:r>
      <w:r>
        <w:rPr>
          <w:b/>
          <w:bCs/>
        </w:rPr>
        <w:t xml:space="preserve">hospital capex remains cautious</w:t>
      </w:r>
      <w:r>
        <w:t xml:space="preserve">. Q2 is the key quarter because Fortive laps the weak Q2 2025 (reimbursement-policy-driven) comp — management flagged a favorable setup.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Consumables and software</w:t>
      </w:r>
      <w:r>
        <w:t xml:space="preserve"> </w:t>
      </w:r>
      <w:r>
        <w:t xml:space="preserve">are the durable growth engines; software again grew faster than the company. Made-in-region (China/India) initiatives are an incremental tailwind.</w:t>
      </w:r>
    </w:p>
    <w:bookmarkEnd w:id="13"/>
    <w:bookmarkStart w:id="14" w:name="X72678f380614f4a703cc14d14a6e7ee54292aa1"/>
    <w:p>
      <w:pPr>
        <w:pStyle w:val="Heading3"/>
      </w:pPr>
      <w:r>
        <w:t xml:space="preserve">5. Margins &amp; tariffs</w:t>
      </w:r>
    </w:p>
    <w:p>
      <w:pPr>
        <w:pStyle w:val="FirstParagraph"/>
      </w:pPr>
      <w:r>
        <w:t xml:space="preserve">Q1 adjusted EBITDA margin expanded ~140 bps to 29.3%, but</w:t>
      </w:r>
      <w:r>
        <w:t xml:space="preserve"> </w:t>
      </w:r>
      <w:r>
        <w:rPr>
          <w:b/>
          <w:bCs/>
        </w:rPr>
        <w:t xml:space="preserve">adjusted gross margin fell ~100 bps on the net impact of tariffs.</w:t>
      </w:r>
      <w:r>
        <w:t xml:space="preserve"> </w:t>
      </w:r>
      <w:r>
        <w:t xml:space="preserve">Management said the</w:t>
      </w:r>
      <w:r>
        <w:t xml:space="preserve"> </w:t>
      </w:r>
      <w:r>
        <w:rPr>
          <w:b/>
          <w:bCs/>
        </w:rPr>
        <w:t xml:space="preserve">tariff drag persists into part of Q3 (when fully countermeasured), then dissipates in Q4.</w:t>
      </w:r>
      <w:r>
        <w:t xml:space="preserve"> </w:t>
      </w:r>
      <w:r>
        <w:t xml:space="preserve">Also note the phasing warning:</w:t>
      </w:r>
      <w:r>
        <w:t xml:space="preserve"> </w:t>
      </w:r>
      <w:r>
        <w:rPr>
          <w:b/>
          <w:bCs/>
        </w:rPr>
        <w:t xml:space="preserve">less margin expansion in 2H</w:t>
      </w:r>
      <w:r>
        <w:t xml:space="preserve"> </w:t>
      </w:r>
      <w:r>
        <w:t xml:space="preserve">as comps toughen in Q3 and the Q4 selling-days headwind hits ($15–20M revenue drag). The medium-term framework calls for</w:t>
      </w:r>
      <w:r>
        <w:t xml:space="preserve"> </w:t>
      </w:r>
      <w:r>
        <w:rPr>
          <w:b/>
          <w:bCs/>
        </w:rPr>
        <w:t xml:space="preserve">50–100 bps of annual EBITDA margin expansion</w:t>
      </w:r>
      <w:r>
        <w:t xml:space="preserve"> </w:t>
      </w:r>
      <w:r>
        <w:t xml:space="preserve">— watch that price/cost stays positive (was &gt;1% in Q1).</w:t>
      </w:r>
    </w:p>
    <w:bookmarkEnd w:id="14"/>
    <w:bookmarkStart w:id="15" w:name="X951e22fd40e078bf2b676f99d706cc869caa750"/>
    <w:p>
      <w:pPr>
        <w:pStyle w:val="Heading3"/>
      </w:pPr>
      <w:r>
        <w:t xml:space="preserve">6. Capital allocation — the buyback is doing heavy lifting</w:t>
      </w:r>
    </w:p>
    <w:p>
      <w:pPr>
        <w:pStyle w:val="FirstParagraph"/>
      </w:pPr>
      <w:r>
        <w:t xml:space="preserve">Fortive has repurchased **~</w:t>
      </w:r>
      <m:oMath>
        <m:r>
          <m:t>1.8</m:t>
        </m:r>
        <m:r>
          <m:t>B</m:t>
        </m:r>
        <m:r>
          <m:rPr>
            <m:sty m:val="p"/>
          </m:rPr>
          <m:t>(</m:t>
        </m:r>
        <m:r>
          <m:t> </m:t>
        </m:r>
        <m:r>
          <m:t>35</m:t>
        </m:r>
        <m:r>
          <m:t>M</m:t>
        </m:r>
        <m:r>
          <m:t>s</m:t>
        </m:r>
        <m:r>
          <m:t>h</m:t>
        </m:r>
        <m:r>
          <m:t>a</m:t>
        </m:r>
        <m:r>
          <m:t>r</m:t>
        </m:r>
        <m:r>
          <m:t>e</m:t>
        </m:r>
        <m:r>
          <m:t>s</m:t>
        </m:r>
        <m:r>
          <m:rPr>
            <m:sty m:val="p"/>
          </m:rPr>
          <m:t>,</m:t>
        </m:r>
        <m:r>
          <m:rPr>
            <m:sty m:val="p"/>
          </m:rPr>
          <m:t>&gt;</m:t>
        </m:r>
        <m:r>
          <m:t>10</m:t>
        </m:r>
      </m:oMath>
      <w:r>
        <w:t xml:space="preserve">500M/quarter, taking diluted shares to ~309M. This is a meaningful EPS tailwind. Watch for:</w:t>
      </w:r>
    </w:p>
    <w:p>
      <w:pPr>
        <w:pStyle w:val="Compact"/>
        <w:numPr>
          <w:ilvl w:val="0"/>
          <w:numId w:val="1005"/>
        </w:numPr>
      </w:pPr>
      <w:r>
        <w:t xml:space="preserve">Continued buyback pace (leverage was 2.8x gross debt/EBITDA in Q1 — some room but rising via commercial paper).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M&amp;A progress</w:t>
      </w:r>
      <w:r>
        <w:t xml:space="preserve"> </w:t>
      </w:r>
      <w:r>
        <w:t xml:space="preserve">— new global corp-dev head Corbin Walburger joined; management is rebuilding a bolt-on pipeline. Any first sizable bolt-on would shift the capital-allocation narrative.</w:t>
      </w:r>
    </w:p>
    <w:p>
      <w:pPr>
        <w:pStyle w:val="Compact"/>
        <w:numPr>
          <w:ilvl w:val="0"/>
          <w:numId w:val="1005"/>
        </w:numPr>
      </w:pPr>
      <w:r>
        <w:t xml:space="preserve">TTM free cash flow ~$954M with &gt;100% conversion supports the program.</w:t>
      </w:r>
    </w:p>
    <w:p>
      <w:r>
        <w:pict>
          <v:rect style="width:0;height:1.5pt" o:hralign="center" o:hrstd="t" o:hr="t"/>
        </w:pict>
      </w:r>
    </w:p>
    <w:bookmarkEnd w:id="15"/>
    <w:bookmarkEnd w:id="16"/>
    <w:bookmarkStart w:id="17" w:name="scorecard-for-tomorrow"/>
    <w:p>
      <w:pPr>
        <w:pStyle w:val="Heading2"/>
      </w:pPr>
      <w:r>
        <w:t xml:space="preserve">Scorecard for tomorrow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Q1 2026 actual</w:t>
            </w:r>
          </w:p>
        </w:tc>
        <w:tc>
          <w:tcPr/>
          <w:p>
            <w:pPr>
              <w:pStyle w:val="Compact"/>
            </w:pPr>
            <w:r>
              <w:t xml:space="preserve">Q2 bogey / context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$0.70 (+25%)</w:t>
            </w:r>
          </w:p>
        </w:tc>
        <w:tc>
          <w:tcPr/>
          <w:p>
            <w:pPr>
              <w:pStyle w:val="Compact"/>
            </w:pPr>
            <w:r>
              <w:t xml:space="preserve">~$0.70 ("broadly similar to Q1")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Core revenue growth</w:t>
            </w:r>
          </w:p>
        </w:tc>
        <w:tc>
          <w:tcPr/>
          <w:p>
            <w:pPr>
              <w:pStyle w:val="Compact"/>
            </w:pPr>
            <w:r>
              <w:t xml:space="preserve">+5.3% (incl. ~150 bps selling days)</w:t>
            </w:r>
          </w:p>
        </w:tc>
        <w:tc>
          <w:tcPr/>
          <w:p>
            <w:pPr>
              <w:pStyle w:val="Compact"/>
            </w:pPr>
            <w:r>
              <w:t xml:space="preserve">Mid-single ex-days; FY 2–3% trending to top end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Reported revenue</w:t>
            </w:r>
          </w:p>
        </w:tc>
        <w:tc>
          <w:tcPr/>
          <w:p>
            <w:pPr>
              <w:pStyle w:val="Compact"/>
            </w:pPr>
            <w:r>
              <w:t xml:space="preserve">$1.07B</w:t>
            </w:r>
          </w:p>
        </w:tc>
        <w:tc>
          <w:tcPr/>
          <w:p>
            <w:pPr>
              <w:pStyle w:val="Compact"/>
            </w:pPr>
            <w:r>
              <w:t xml:space="preserve">FY ~$4.3B; Q2 ~150 bps FX+M&amp;A tailwind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Adj. EBITDA margin</w:t>
            </w:r>
          </w:p>
        </w:tc>
        <w:tc>
          <w:tcPr/>
          <w:p>
            <w:pPr>
              <w:pStyle w:val="Compact"/>
            </w:pPr>
            <w:r>
              <w:t xml:space="preserve">29.3% (+140 bps)</w:t>
            </w:r>
          </w:p>
        </w:tc>
        <w:tc>
          <w:tcPr/>
          <w:p>
            <w:pPr>
              <w:pStyle w:val="Compact"/>
            </w:pPr>
            <w:r>
              <w:t xml:space="preserve">Watch tariff drag on gross margin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FY26 adj EPS guide</w:t>
            </w:r>
          </w:p>
        </w:tc>
        <w:tc>
          <w:tcPr/>
          <w:p>
            <w:pPr>
              <w:pStyle w:val="Compact"/>
            </w:pPr>
            <m:oMath>
              <m:r>
                <m:t>2.90</m:t>
              </m:r>
              <m:r>
                <m:rPr>
                  <m:sty m:val="p"/>
                </m:rPr>
                <m:t>–</m:t>
              </m:r>
            </m:oMath>
            <w:r>
              <w:t xml:space="preserve">3.00, "upper half"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Raise vs. reaffirm = key catalyst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7"/>
    <w:bookmarkStart w:id="18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Fortive enters the print with genuine operating momentum — accelerating orders, a credible data-center/software growth story, aggressive buybacks, and easing AHS comps. But the stock is at an all-time high and already discounts a lot of that good news. The most likely path to a positive reaction is an</w:t>
      </w:r>
      <w:r>
        <w:t xml:space="preserve"> </w:t>
      </w:r>
      <w:r>
        <w:rPr>
          <w:b/>
          <w:bCs/>
        </w:rPr>
        <w:t xml:space="preserve">explicit guidance raise (or a move above $3.00) plus confirmation that core growth is heading toward/above 3%</w:t>
      </w:r>
      <w:r>
        <w:t xml:space="preserve"> </w:t>
      </w:r>
      <w:r>
        <w:t xml:space="preserve">and that orders/book-to-bill remain healthy. Watch the tariff-driven gross-margin cadence and the 2H margin phasing so a strong Q2 headline isn't undercut by cautious back-half framing. Gordian's June government spend and the pace of hospital capital recovery are the two swing factors most likely to determine whether the quarter beats or merely meets.</w:t>
      </w:r>
    </w:p>
    <w:p>
      <w:pPr>
        <w:pStyle w:val="BodyText"/>
      </w:pPr>
      <w:r>
        <w:rPr>
          <w:i/>
          <w:iCs/>
        </w:rPr>
        <w:t xml:space="preserve">Note: I was unable to find fresh sell-side or news headlines in the days immediately before the print, so this preview is built primarily from Q1 2026 results/guidance, the June 2025 Investor Day framework, and the stock's price action.</w:t>
      </w:r>
    </w:p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2026-07-29T01:06:41Z</dcterms:created>
  <dcterms:modified xsi:type="dcterms:W3CDTF">2026-07-29T01:06:41Z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