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v-earnings-predictions--2026-07-29"/>
    <w:p>
      <w:pPr>
        <w:pStyle w:val="Heading1"/>
      </w:pPr>
      <w:r>
        <w:t xml:space="preserve">FTV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~$0.71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~$1.07B vs. cons $1.06B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~29.0% vs. cons ~28.6%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rPr>
                  <m:sty m:val="p"/>
                </m:rPr>
                <m:t>−</m:t>
              </m:r>
            </m:oMath>
            <w:r>
              <w:t xml:space="preserve">3.05 (raised/narrowed toward upper end) vs. cons ~$2.97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~3.0-4.0% (upper end/raised) vs. cons ~2.5-3.0% prior guide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Adjusted EBITDA Margin Expansion Cadence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~20-40bps H2 expansion vs. cons/prior-implied ~50-100bps annual framework pace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Stock enters the print at all-time highs, above average analyst PT and well above the pre-Q1 level that still saw a post-beat 'sell the news' drop; management's own framing points to decelerating H2 margin expansion and tariff headwinds lingering into Q3, so even a Q2 beat likely triggers analysts trimming H2/FY out-quarter EBITDA-margin and EPS estimates rather than raising them, extending an initial negative reaction over the following days rather than fading it.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2026-07-29T01:10:03Z</dcterms:created>
  <dcterms:modified xsi:type="dcterms:W3CDTF">2026-07-29T01:10:03Z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