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3154d9d6b8d136b3a55ed1a907a17339817a93a"/>
    <w:p>
      <w:pPr>
        <w:pStyle w:val="Heading1"/>
      </w:pPr>
      <w:r>
        <w:t xml:space="preserve">Fortive Corporation (NYSE: FTV) — Q2 2026 Earnings Preview</w:t>
      </w:r>
    </w:p>
    <w:p>
      <w:pPr>
        <w:pStyle w:val="FirstParagraph"/>
      </w:pPr>
      <w:r>
        <w:rPr>
          <w:b/>
          <w:bCs/>
        </w:rPr>
        <w:t xml:space="preserve">Report Date:</w:t>
      </w:r>
      <w:r>
        <w:t xml:space="preserve"> </w:t>
      </w:r>
      <w:r>
        <w:t xml:space="preserve">July 29,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FTV shares have been in a steady uptrend heading into the print, closing at **</w:t>
      </w:r>
      <m:oMath>
        <m:r>
          <m:t>64.11</m:t>
        </m:r>
        <m:r>
          <m:t>o</m:t>
        </m:r>
        <m:r>
          <m:t>n</m:t>
        </m:r>
        <m:r>
          <m:t>J</m:t>
        </m:r>
        <m:r>
          <m:t>u</m:t>
        </m:r>
        <m:r>
          <m:t>l</m:t>
        </m:r>
        <m:r>
          <m:t>y</m:t>
        </m:r>
        <m:r>
          <m:t>28</m:t>
        </m:r>
        <m:r>
          <m:rPr>
            <m:sty m:val="p"/>
          </m:rPr>
          <m:t>*</m:t>
        </m:r>
        <m:r>
          <m:rPr>
            <m:sty m:val="p"/>
          </m:rPr>
          <m:t>*</m:t>
        </m:r>
        <m:r>
          <m:rPr>
            <m:sty m:val="p"/>
          </m:rPr>
          <m:t>,</m:t>
        </m:r>
        <m:r>
          <m:t>u</m:t>
        </m:r>
        <m:r>
          <m:t>p</m:t>
        </m:r>
        <m:r>
          <m:t>f</m:t>
        </m:r>
        <m:r>
          <m:t>r</m:t>
        </m:r>
        <m:r>
          <m:t>o</m:t>
        </m:r>
        <m:r>
          <m:t>m</m:t>
        </m:r>
        <m:r>
          <m:t>t</m:t>
        </m:r>
        <m:r>
          <m:t>h</m:t>
        </m:r>
        <m:r>
          <m:t>e</m:t>
        </m:r>
        <m:r>
          <m:t>l</m:t>
        </m:r>
        <m:r>
          <m:t>o</m:t>
        </m:r>
        <m:r>
          <m:t>w</m:t>
        </m:r>
        <m:r>
          <m:rPr>
            <m:sty m:val="p"/>
          </m:rPr>
          <m:t>−</m:t>
        </m:r>
      </m:oMath>
      <w:r>
        <w:t xml:space="preserve">50s in January 2026 — a run of roughly 20%+ year-to-date and a fresh multi-month high the day before earnings. The stock jumped sharply in early February (post-Q4 print) and again in April (post-Q1 print), suggesting the market has rewarded Fortive's recent beat-and-raise pattern. Options and sentiment context: consensus sell-side sentiment remains cautiously mixed — of 18 analysts covering the stock, three advise a "Strong Buy" rating, one suggests a "Moderate Buy," 12 give a "Hold," and two recommend a "Strong Sell," with an average analyst price target is $63.82, indicating a potential upside of 1.9% from the current levels as of a few weeks ago — meaning the stock's recent run has essentially caught up to (and now exceeded) the Street's average target, raising the bar for tomorrow's results.</w:t>
      </w:r>
    </w:p>
    <w:bookmarkEnd w:id="9"/>
    <w:bookmarkStart w:id="10" w:name="what-the-street-expects"/>
    <w:p>
      <w:pPr>
        <w:pStyle w:val="Heading2"/>
      </w:pPr>
      <w:r>
        <w:t xml:space="preserve">What the Street Expects</w:t>
      </w:r>
    </w:p>
    <w:p>
      <w:pPr>
        <w:pStyle w:val="Compact"/>
        <w:numPr>
          <w:ilvl w:val="0"/>
          <w:numId w:val="1001"/>
        </w:numPr>
      </w:pPr>
      <w:r>
        <w:rPr>
          <w:b/>
          <w:bCs/>
        </w:rPr>
        <w:t xml:space="preserve">Zacks consensus:</w:t>
      </w:r>
      <w:r>
        <w:t xml:space="preserve"> </w:t>
      </w:r>
      <w:r>
        <w:t xml:space="preserve">revenue of</w:t>
      </w:r>
      <w:r>
        <w:t xml:space="preserve"> </w:t>
      </w:r>
      <m:oMath>
        <m:r>
          <m:t>1.06</m:t>
        </m:r>
        <m:r>
          <m:t>b</m:t>
        </m:r>
        <m:r>
          <m:t>i</m:t>
        </m:r>
        <m:r>
          <m:t>l</m:t>
        </m:r>
        <m:r>
          <m:t>l</m:t>
        </m:r>
        <m:r>
          <m:t>i</m:t>
        </m:r>
        <m:r>
          <m:t>o</m:t>
        </m:r>
        <m:r>
          <m:t>n</m:t>
        </m:r>
        <m:r>
          <m:rPr>
            <m:sty m:val="p"/>
          </m:rPr>
          <m:t>*</m:t>
        </m:r>
        <m:r>
          <m:rPr>
            <m:sty m:val="p"/>
          </m:rPr>
          <m:t>*</m:t>
        </m:r>
        <m:r>
          <m:rPr>
            <m:sty m:val="p"/>
          </m:rPr>
          <m:t>(</m:t>
        </m:r>
        <m:r>
          <m:rPr>
            <m:sty m:val="p"/>
          </m:rPr>
          <m:t>+</m:t>
        </m:r>
        <m:r>
          <m:t>3.9</m:t>
        </m:r>
      </m:oMath>
      <w:r>
        <w:rPr>
          <w:b/>
          <w:bCs/>
        </w:rPr>
        <w:t xml:space="preserve">0.71</w:t>
      </w:r>
      <w:r>
        <w:t xml:space="preserve"> </w:t>
      </w:r>
      <w:r>
        <w:t xml:space="preserve">(+22.4% y/y). The Zacks Consensus Estimate for revenues is pegged at $1.06 billion, which implies an increase of 3.9% from the year-ago reported number. The consensus mark for earnings is pegged at 71 cents per share, indicating year-over-year growth of 22.4%.</w:t>
      </w:r>
    </w:p>
    <w:p>
      <w:pPr>
        <w:pStyle w:val="Compact"/>
        <w:numPr>
          <w:ilvl w:val="0"/>
          <w:numId w:val="1001"/>
        </w:numPr>
      </w:pPr>
      <w:r>
        <w:rPr>
          <w:b/>
          <w:bCs/>
        </w:rPr>
        <w:t xml:space="preserve">Barchart consensus:</w:t>
      </w:r>
      <w:r>
        <w:t xml:space="preserve"> </w:t>
      </w:r>
      <w:r>
        <w:t xml:space="preserve">EPS of</w:t>
      </w:r>
      <w:r>
        <w:t xml:space="preserve"> </w:t>
      </w:r>
      <w:r>
        <w:rPr>
          <w:b/>
          <w:bCs/>
        </w:rPr>
        <w:t xml:space="preserve">$0.69</w:t>
      </w:r>
      <w:r>
        <w:t xml:space="preserve">, up from $0.58 a year ago. analysts expect FTV to report a profit of $0.69 per share on a diluted basis, up 19% from $0.58 per share in the year-ago quarter</w:t>
      </w:r>
    </w:p>
    <w:p>
      <w:pPr>
        <w:pStyle w:val="Compact"/>
        <w:numPr>
          <w:ilvl w:val="0"/>
          <w:numId w:val="1001"/>
        </w:numPr>
      </w:pPr>
      <w:r>
        <w:rPr>
          <w:b/>
          <w:bCs/>
        </w:rPr>
        <w:t xml:space="preserve">Track record:</w:t>
      </w:r>
      <w:r>
        <w:t xml:space="preserve"> </w:t>
      </w:r>
      <w:r>
        <w:t xml:space="preserve">FTV's earnings outpaced the Zacks Consensus Estimate in three of the trailing four quarters, while missing in one, with the average surprise being 7.93%. Similarly, Fortive beat analysts' revenue expectations last quarter, reporting revenues of $1.07 billion, up 7.7% year on year... with a solid beat of analysts' EBITDA estimates and a beat of analysts' EPS estimates. However, note the longer-term caveat: Fortive has missed Wall Street's revenue estimates multiple times over the last two years.</w:t>
      </w:r>
    </w:p>
    <w:p>
      <w:pPr>
        <w:pStyle w:val="Compact"/>
        <w:numPr>
          <w:ilvl w:val="0"/>
          <w:numId w:val="1001"/>
        </w:numPr>
      </w:pPr>
      <w:r>
        <w:rPr>
          <w:b/>
          <w:bCs/>
        </w:rPr>
        <w:t xml:space="preserve">Peer read-throughs:</w:t>
      </w:r>
      <w:r>
        <w:t xml:space="preserve"> </w:t>
      </w:r>
      <w:r>
        <w:t xml:space="preserve">Early Q2 industrial reports have been constructive — Snap-on delivered year-on-year revenue growth of 4.2%, beating analysts' expectations by 1.1%, and GE Aerospace reported revenues up 24.5%, topping estimates by 6% — although the reaction has been mixed (GE Aerospace stock fell despite the beat) and the broader group has lagged: the group has generally underperformed, with share prices down 3.3% on average over the last month. Fortive is up 3.7% over that stretch, a relative outperformer heading into the print.</w:t>
      </w:r>
    </w:p>
    <w:bookmarkEnd w:id="10"/>
    <w:bookmarkStart w:id="11" w:name="q1-2026-recap--the-baseline-to-beat"/>
    <w:p>
      <w:pPr>
        <w:pStyle w:val="Heading2"/>
      </w:pPr>
      <w:r>
        <w:t xml:space="preserve">Q1 2026 Recap — The Baseline to Beat</w:t>
      </w:r>
    </w:p>
    <w:p>
      <w:pPr>
        <w:pStyle w:val="FirstParagraph"/>
      </w:pPr>
      <w:r>
        <w:t xml:space="preserve">Fortive delivered a strong Q1 as "New Fortive" (post Ralliant spin-off), its third straight quarter of double-digit adjusted EPS growth:</w:t>
      </w:r>
    </w:p>
    <w:p>
      <w:pPr>
        <w:pStyle w:val="Compact"/>
        <w:numPr>
          <w:ilvl w:val="0"/>
          <w:numId w:val="1002"/>
        </w:numPr>
      </w:pPr>
      <w:r>
        <w:t xml:space="preserve">Revenue of</w:t>
      </w:r>
      <w:r>
        <w:t xml:space="preserve"> </w:t>
      </w:r>
      <w:r>
        <w:rPr>
          <w:b/>
          <w:bCs/>
        </w:rPr>
        <w:t xml:space="preserve">$1.069B</w:t>
      </w:r>
      <w:r>
        <w:t xml:space="preserve">, up</w:t>
      </w:r>
      <w:r>
        <w:t xml:space="preserve"> </w:t>
      </w:r>
      <w:r>
        <w:rPr>
          <w:b/>
          <w:bCs/>
        </w:rPr>
        <w:t xml:space="preserve">7.7%</w:t>
      </w:r>
      <w:r>
        <w:t xml:space="preserve"> </w:t>
      </w:r>
      <w:r>
        <w:t xml:space="preserve">reported /</w:t>
      </w:r>
      <w:r>
        <w:t xml:space="preserve"> </w:t>
      </w:r>
      <w:r>
        <w:rPr>
          <w:b/>
          <w:bCs/>
        </w:rPr>
        <w:t xml:space="preserve">5.3%</w:t>
      </w:r>
      <w:r>
        <w:t xml:space="preserve"> </w:t>
      </w:r>
      <w:r>
        <w:t xml:space="preserve">core, aided by ~150bps from extra selling days. Q1 reported revenue grew 7.7% year-over-year on a reported basis and 5.3% on a core basis, with revenue growth benefiting from an ~150 basis point tailwind from additional year-over-year selling days in the quarter.</w:t>
      </w:r>
    </w:p>
    <w:p>
      <w:pPr>
        <w:pStyle w:val="Compact"/>
        <w:numPr>
          <w:ilvl w:val="0"/>
          <w:numId w:val="1002"/>
        </w:numPr>
      </w:pPr>
      <w:r>
        <w:t xml:space="preserve">Adjusted EBITDA of</w:t>
      </w:r>
      <w:r>
        <w:t xml:space="preserve"> </w:t>
      </w:r>
      <m:oMath>
        <m:r>
          <m:t>314</m:t>
        </m:r>
        <m:r>
          <m:t>M</m:t>
        </m:r>
        <m:r>
          <m:rPr>
            <m:sty m:val="p"/>
          </m:rPr>
          <m:t>(</m:t>
        </m:r>
        <m:r>
          <m:rPr>
            <m:sty m:val="p"/>
          </m:rPr>
          <m:t>+</m:t>
        </m:r>
        <m:r>
          <m:t>13.2</m:t>
        </m:r>
      </m:oMath>
      <w:r>
        <w:t xml:space="preserve">0.70** (+25.4% y/y). Adj. EBITDA $314M $277M 13.2%; Adj. EBITDA margin 29.3% 27.9% 140 bps; GAAP diluted net earnings per share $0.44 $0.33 33.3%; Adj. diluted net earnings per share $0.70 $0.55 25.4%.</w:t>
      </w:r>
    </w:p>
    <w:p>
      <w:pPr>
        <w:pStyle w:val="Compact"/>
        <w:numPr>
          <w:ilvl w:val="0"/>
          <w:numId w:val="1002"/>
        </w:numPr>
      </w:pPr>
      <w:r>
        <w:t xml:space="preserve">Both segments grew nicely: Intelligent Operating Solutions (IOS) core revenue +5.2% with EBITDA margin of 34.3%; Advanced Healthcare Solutions (AHS) core revenue +5.8% with EBITDA margin up 210bps to 25.7%. Intelligent Operating Solutions Revenue $743M... Adj. EBITDA margin 34.3% 34.2% 10 bps; Advanced Healthcare Solutions Revenue $326M... Adj. EBITDA margin 25.7% 23.6% 210 bps.</w:t>
      </w:r>
    </w:p>
    <w:p>
      <w:pPr>
        <w:pStyle w:val="Compact"/>
        <w:numPr>
          <w:ilvl w:val="0"/>
          <w:numId w:val="1002"/>
        </w:numPr>
      </w:pPr>
      <w:r>
        <w:t xml:space="preserve">Capital return remained aggressive:</w:t>
      </w:r>
      <w:r>
        <w:t xml:space="preserve"> </w:t>
      </w:r>
      <w:r>
        <w:rPr>
          <w:b/>
          <w:bCs/>
        </w:rPr>
        <w:t xml:space="preserve">~</w:t>
      </w:r>
      <m:oMath>
        <m:r>
          <m:t>500</m:t>
        </m:r>
        <m:r>
          <m:t>M</m:t>
        </m:r>
        <m:r>
          <m:rPr>
            <m:sty m:val="p"/>
          </m:rPr>
          <m:t>*</m:t>
        </m:r>
        <m:r>
          <m:rPr>
            <m:sty m:val="p"/>
          </m:rPr>
          <m:t>*</m:t>
        </m:r>
        <m:r>
          <m:t>o</m:t>
        </m:r>
        <m:r>
          <m:t>f</m:t>
        </m:r>
        <m:r>
          <m:t>b</m:t>
        </m:r>
        <m:r>
          <m:t>u</m:t>
        </m:r>
        <m:r>
          <m:t>y</m:t>
        </m:r>
        <m:r>
          <m:t>b</m:t>
        </m:r>
        <m:r>
          <m:t>a</m:t>
        </m:r>
        <m:r>
          <m:t>c</m:t>
        </m:r>
        <m:r>
          <m:t>k</m:t>
        </m:r>
        <m:r>
          <m:t>s</m:t>
        </m:r>
        <m:r>
          <m:t>i</m:t>
        </m:r>
        <m:r>
          <m:t>n</m:t>
        </m:r>
        <m:r>
          <m:t>Q</m:t>
        </m:r>
        <m:r>
          <m:t>1</m:t>
        </m:r>
        <m:r>
          <m:t>a</m:t>
        </m:r>
        <m:r>
          <m:t>l</m:t>
        </m:r>
        <m:r>
          <m:t>o</m:t>
        </m:r>
        <m:r>
          <m:t>n</m:t>
        </m:r>
        <m:r>
          <m:t>e</m:t>
        </m:r>
        <m:r>
          <m:rPr>
            <m:sty m:val="p"/>
          </m:rPr>
          <m:t>,</m:t>
        </m:r>
        <m:r>
          <m:t>b</m:t>
        </m:r>
        <m:r>
          <m:t>r</m:t>
        </m:r>
        <m:r>
          <m:t>i</m:t>
        </m:r>
        <m:r>
          <m:t>n</m:t>
        </m:r>
        <m:r>
          <m:t>g</m:t>
        </m:r>
        <m:r>
          <m:t>i</m:t>
        </m:r>
        <m:r>
          <m:t>n</m:t>
        </m:r>
        <m:r>
          <m:t>g</m:t>
        </m:r>
        <m:r>
          <m:t>c</m:t>
        </m:r>
        <m:r>
          <m:t>u</m:t>
        </m:r>
        <m:r>
          <m:t>m</m:t>
        </m:r>
        <m:r>
          <m:t>u</m:t>
        </m:r>
        <m:r>
          <m:t>l</m:t>
        </m:r>
        <m:r>
          <m:t>a</m:t>
        </m:r>
        <m:r>
          <m:t>t</m:t>
        </m:r>
        <m:r>
          <m:t>i</m:t>
        </m:r>
        <m:r>
          <m:t>v</m:t>
        </m:r>
        <m:r>
          <m:t>e</m:t>
        </m:r>
        <m:r>
          <m:t>r</m:t>
        </m:r>
        <m:r>
          <m:t>e</m:t>
        </m:r>
        <m:r>
          <m:t>p</m:t>
        </m:r>
        <m:r>
          <m:t>u</m:t>
        </m:r>
        <m:r>
          <m:t>r</m:t>
        </m:r>
        <m:r>
          <m:t>c</m:t>
        </m:r>
        <m:r>
          <m:t>h</m:t>
        </m:r>
        <m:r>
          <m:t>a</m:t>
        </m:r>
        <m:r>
          <m:t>s</m:t>
        </m:r>
        <m:r>
          <m:t>e</m:t>
        </m:r>
        <m:r>
          <m:t>s</m:t>
        </m:r>
        <m:r>
          <m:t>s</m:t>
        </m:r>
        <m:r>
          <m:t>i</m:t>
        </m:r>
        <m:r>
          <m:t>n</m:t>
        </m:r>
        <m:r>
          <m:t>c</m:t>
        </m:r>
        <m:r>
          <m:t>e</m:t>
        </m:r>
        <m:r>
          <m:t>t</m:t>
        </m:r>
        <m:r>
          <m:t>h</m:t>
        </m:r>
        <m:r>
          <m:t>e</m:t>
        </m:r>
        <m:r>
          <m:t>J</m:t>
        </m:r>
        <m:r>
          <m:t>u</m:t>
        </m:r>
        <m:r>
          <m:t>l</m:t>
        </m:r>
        <m:r>
          <m:t>y</m:t>
        </m:r>
        <m:r>
          <m:t>2025</m:t>
        </m:r>
        <m:r>
          <m:t>s</m:t>
        </m:r>
        <m:r>
          <m:t>p</m:t>
        </m:r>
        <m:r>
          <m:t>i</m:t>
        </m:r>
        <m:r>
          <m:t>n</m:t>
        </m:r>
        <m:r>
          <m:t>t</m:t>
        </m:r>
        <m:r>
          <m:t>o</m:t>
        </m:r>
        <m:r>
          <m:rPr>
            <m:sty m:val="p"/>
          </m:rPr>
          <m:t>*</m:t>
        </m:r>
        <m:r>
          <m:rPr>
            <m:sty m:val="p"/>
          </m:rPr>
          <m:t>*</m:t>
        </m:r>
        <m:r>
          <m:t> </m:t>
        </m:r>
      </m:oMath>
      <w:r>
        <w:rPr>
          <w:b/>
          <w:bCs/>
        </w:rPr>
        <w:t xml:space="preserve">1.8B</w:t>
      </w:r>
      <w:r>
        <w:t xml:space="preserve">, or</w:t>
      </w:r>
      <w:r>
        <w:t xml:space="preserve"> </w:t>
      </w:r>
      <w:r>
        <w:rPr>
          <w:b/>
          <w:bCs/>
        </w:rPr>
        <w:t xml:space="preserve">~10%</w:t>
      </w:r>
      <w:r>
        <w:t xml:space="preserve"> </w:t>
      </w:r>
      <w:r>
        <w:t xml:space="preserve">of shares outstanding. In the first quarter, we completed approximately $500 million of share repurchases. We've now reduced our share count by just over 10% since we launched New Fortive in July 2025.</w:t>
      </w:r>
    </w:p>
    <w:p>
      <w:pPr>
        <w:pStyle w:val="Compact"/>
        <w:numPr>
          <w:ilvl w:val="0"/>
          <w:numId w:val="1002"/>
        </w:numPr>
      </w:pPr>
      <w:r>
        <w:t xml:space="preserve">FY26 guidance was reaffirmed at</w:t>
      </w:r>
      <w:r>
        <w:t xml:space="preserve"> </w:t>
      </w:r>
      <m:oMath>
        <m:r>
          <m:t>2.90</m:t>
        </m:r>
        <m:r>
          <m:rPr>
            <m:sty m:val="p"/>
          </m:rPr>
          <m:t>–</m:t>
        </m:r>
      </m:oMath>
      <w:r>
        <w:rPr>
          <w:b/>
          <w:bCs/>
        </w:rPr>
        <w:t xml:space="preserve">3.00</w:t>
      </w:r>
      <w:r>
        <w:t xml:space="preserve"> </w:t>
      </w:r>
      <w:r>
        <w:t xml:space="preserve">adjusted EPS, trending toward the upper half. Lastly, we are reaffirming our full year adjusted EPS guidance range of $2.90 to $3, and based on our Q1 performance and trends to date, we believe results are trending toward the upper half of that range.</w:t>
      </w:r>
    </w:p>
    <w:bookmarkEnd w:id="11"/>
    <w:bookmarkStart w:id="12" w:name="Xbcf05ccc0aa64ce79d532d87bb9070e92720953"/>
    <w:p>
      <w:pPr>
        <w:pStyle w:val="Heading2"/>
      </w:pPr>
      <w:r>
        <w:t xml:space="preserve">Key Guideposts for Q2 (Management's Own Framing)</w:t>
      </w:r>
    </w:p>
    <w:p>
      <w:pPr>
        <w:pStyle w:val="FirstParagraph"/>
      </w:pPr>
      <w:r>
        <w:t xml:space="preserve">On the Q1 call, CFO Mark Okerstrom gave unusually specific quarter-shape guidance that investors should hold management to tomorrow:</w:t>
      </w:r>
    </w:p>
    <w:p>
      <w:pPr>
        <w:pStyle w:val="Compact"/>
        <w:numPr>
          <w:ilvl w:val="0"/>
          <w:numId w:val="1003"/>
        </w:numPr>
      </w:pPr>
      <w:r>
        <w:rPr>
          <w:b/>
          <w:bCs/>
        </w:rPr>
        <w:t xml:space="preserve">EPS shape:</w:t>
      </w:r>
      <w:r>
        <w:t xml:space="preserve"> </w:t>
      </w:r>
      <w:r>
        <w:t xml:space="preserve">Based on what we see today and based on these modeling considerations, we would expect Q2 and Q3 adjusted EPS to be broadly similar to what we delivered in Q1. That implies a Q2 print in the</w:t>
      </w:r>
      <w:r>
        <w:t xml:space="preserve"> </w:t>
      </w:r>
      <m:oMath>
        <m:r>
          <m:t>0.68</m:t>
        </m:r>
        <m:r>
          <m:rPr>
            <m:sty m:val="p"/>
          </m:rPr>
          <m:t>–</m:t>
        </m:r>
      </m:oMath>
      <w:r>
        <w:rPr>
          <w:b/>
          <w:bCs/>
        </w:rPr>
        <w:t xml:space="preserve">0.72</w:t>
      </w:r>
      <w:r>
        <w:t xml:space="preserve"> </w:t>
      </w:r>
      <w:r>
        <w:t xml:space="preserve">neighborhood, roughly consistent with Street's ~</w:t>
      </w:r>
      <m:oMath>
        <m:r>
          <m:t>0.69</m:t>
        </m:r>
        <m:r>
          <m:rPr>
            <m:sty m:val="p"/>
          </m:rPr>
          <m:t>–</m:t>
        </m:r>
      </m:oMath>
      <w:r>
        <w:t xml:space="preserve">0.71 estimates — but notably</w:t>
      </w:r>
      <w:r>
        <w:t xml:space="preserve"> </w:t>
      </w:r>
      <w:r>
        <w:rPr>
          <w:b/>
          <w:bCs/>
        </w:rPr>
        <w:t xml:space="preserve">not</w:t>
      </w:r>
      <w:r>
        <w:t xml:space="preserve"> </w:t>
      </w:r>
      <w:r>
        <w:t xml:space="preserve">the typical seasonal step-up from Q1 to Q2, since Q1 benefited from extra selling days that reverse in Q2.</w:t>
      </w:r>
    </w:p>
    <w:p>
      <w:pPr>
        <w:pStyle w:val="Compact"/>
        <w:numPr>
          <w:ilvl w:val="0"/>
          <w:numId w:val="1003"/>
        </w:numPr>
      </w:pPr>
      <w:r>
        <w:rPr>
          <w:b/>
          <w:bCs/>
        </w:rPr>
        <w:t xml:space="preserve">Core growth:</w:t>
      </w:r>
      <w:r>
        <w:t xml:space="preserve"> </w:t>
      </w:r>
      <w:r>
        <w:t xml:space="preserve">Management guided full-year core growth of</w:t>
      </w:r>
      <w:r>
        <w:t xml:space="preserve"> </w:t>
      </w:r>
      <w:r>
        <w:rPr>
          <w:b/>
          <w:bCs/>
        </w:rPr>
        <w:t xml:space="preserve">2–3%</w:t>
      </w:r>
      <w:r>
        <w:t xml:space="preserve">, "trending towards the upper end," with Q2 core growth expected in a similar mid-single-digit zone to Q1 once days and FX/M&amp;A tailwinds (~150bps) are considered. We continue to expect core growth in the 2% to 3% range, and given strong order patterns, we believe results are trending towards the upper end of that range. Management confirmed to an analyst that Q2, we obviously don't have the benefit of the days. We do have a slightly easier comp. I called out the FX tailwind that combined with M&amp;A being about 150 basis points... we're starting to see just some momentum across each of the 2 segments... with IOS a little bit ahead of AHS.</w:t>
      </w:r>
    </w:p>
    <w:p>
      <w:pPr>
        <w:pStyle w:val="Compact"/>
        <w:numPr>
          <w:ilvl w:val="0"/>
          <w:numId w:val="1003"/>
        </w:numPr>
      </w:pPr>
      <w:r>
        <w:rPr>
          <w:b/>
          <w:bCs/>
        </w:rPr>
        <w:t xml:space="preserve">Margins:</w:t>
      </w:r>
      <w:r>
        <w:t xml:space="preserve"> </w:t>
      </w:r>
      <w:r>
        <w:t xml:space="preserve">Expect somewhat less margin expansion in H2 than H1 as the company laps prior-year cost actions and faces tougher comps, though the medium-term framework of 50–100bps annual adjusted EBITDA margin expansion remains intact. What you will see this year... is that because we've got this days impact in the first half of the year, we've got easier comps in the first half of the year. In the back half of the year, the comps get a little bit harder in Q3, and then you've got the days impact in Q4... You'll see a little bit of a shift... or a little bit less margin expansion in the back half of the year than certainly we were able to deliver in the first half of the year.</w:t>
      </w:r>
    </w:p>
    <w:p>
      <w:pPr>
        <w:pStyle w:val="Compact"/>
        <w:numPr>
          <w:ilvl w:val="0"/>
          <w:numId w:val="1003"/>
        </w:numPr>
      </w:pPr>
      <w:r>
        <w:rPr>
          <w:b/>
          <w:bCs/>
        </w:rPr>
        <w:t xml:space="preserve">Tariffs/price-cost:</w:t>
      </w:r>
      <w:r>
        <w:t xml:space="preserve"> </w:t>
      </w:r>
      <w:r>
        <w:t xml:space="preserve">Gross margin tariff headwinds should persist through part of Q3 before fully dissipating in Q4. The tariffs... have been a headwind to our gross margins, even though they're completely countermeasured from a bottom line perspective... It's going to persist through partway through the third quarter when we are fully countermeasured. And then you'll see that dissipate completely as we lap over the countermeasures in the fourth quarter.</w:t>
      </w:r>
    </w:p>
    <w:p>
      <w:pPr>
        <w:pStyle w:val="Compact"/>
        <w:numPr>
          <w:ilvl w:val="0"/>
          <w:numId w:val="1003"/>
        </w:numPr>
      </w:pPr>
      <w:r>
        <w:rPr>
          <w:b/>
          <w:bCs/>
        </w:rPr>
        <w:t xml:space="preserve">Tax rate:</w:t>
      </w:r>
      <w:r>
        <w:t xml:space="preserve"> </w:t>
      </w:r>
      <w:r>
        <w:t xml:space="preserve">Modeling calls for a mid-teens effective tax rate in Q2, stepping up to high-teens in Q3 and down to high-single/low-double digits in Q4.</w:t>
      </w:r>
    </w:p>
    <w:bookmarkEnd w:id="12"/>
    <w:bookmarkStart w:id="13" w:name="themes-to-watch-on-tomorrows-call"/>
    <w:p>
      <w:pPr>
        <w:pStyle w:val="Heading2"/>
      </w:pPr>
      <w:r>
        <w:t xml:space="preserve">Themes to Watch on Tomorrow's Call</w:t>
      </w:r>
    </w:p>
    <w:p>
      <w:pPr>
        <w:pStyle w:val="Compact"/>
        <w:numPr>
          <w:ilvl w:val="0"/>
          <w:numId w:val="1004"/>
        </w:numPr>
      </w:pPr>
      <w:r>
        <w:rPr>
          <w:b/>
          <w:bCs/>
        </w:rPr>
        <w:t xml:space="preserve">Order momentum / book-to-bill.</w:t>
      </w:r>
      <w:r>
        <w:t xml:space="preserve"> </w:t>
      </w:r>
      <w:r>
        <w:t xml:space="preserve">Q1 orders grew faster than revenue across nearly every business line (Fluke, FAL, ISC, ASP), with Book-to-bill was over 1, healthy backlog to end the quarter at Fluke. Watch for confirmation this trend held through Q2 — a deceleration in orders would be the biggest red flag given the stock's re-rating.</w:t>
      </w:r>
    </w:p>
    <w:p>
      <w:pPr>
        <w:pStyle w:val="Compact"/>
        <w:numPr>
          <w:ilvl w:val="0"/>
          <w:numId w:val="1004"/>
        </w:numPr>
      </w:pPr>
      <w:r>
        <w:rPr>
          <w:b/>
          <w:bCs/>
        </w:rPr>
        <w:t xml:space="preserve">Fluke and the data center opportunity.</w:t>
      </w:r>
      <w:r>
        <w:t xml:space="preserve"> </w:t>
      </w:r>
      <w:r>
        <w:t xml:space="preserve">Fluke (~40% of revenue) continues to see outsized customer response to its CertiFiber Max data-center testing launch, which management believes can pull through the broader Fluke product suite as hyperscalers standardize maintenance tool sets. Investors should look for updated commentary on this "not yet at peak" opportunity and any quantification of the data-center revenue contribution.</w:t>
      </w:r>
    </w:p>
    <w:p>
      <w:pPr>
        <w:pStyle w:val="Compact"/>
        <w:numPr>
          <w:ilvl w:val="0"/>
          <w:numId w:val="1004"/>
        </w:numPr>
      </w:pPr>
      <w:r>
        <w:rPr>
          <w:b/>
          <w:bCs/>
        </w:rPr>
        <w:t xml:space="preserve">FAL (Facility &amp; Asset Lifecycle) acceleration.</w:t>
      </w:r>
      <w:r>
        <w:t xml:space="preserve"> </w:t>
      </w:r>
      <w:r>
        <w:t xml:space="preserve">FAL grew faster than IOS's overall core rate in Q1 (led by ServiceChannel), and management flagged "steady acceleration" — watch whether this trend continued and whether Gordian saw the seasonal June/fiscal-year-end government spending bump that was notably absent last year.</w:t>
      </w:r>
    </w:p>
    <w:p>
      <w:pPr>
        <w:pStyle w:val="Compact"/>
        <w:numPr>
          <w:ilvl w:val="0"/>
          <w:numId w:val="1004"/>
        </w:numPr>
      </w:pPr>
      <w:r>
        <w:rPr>
          <w:b/>
          <w:bCs/>
        </w:rPr>
        <w:t xml:space="preserve">AHS/ASP capital equipment recovery.</w:t>
      </w:r>
      <w:r>
        <w:t xml:space="preserve"> </w:t>
      </w:r>
      <w:r>
        <w:t xml:space="preserve">Hospital capital spending remained cautious but showed "modest sequential improvement" in Q1, with easier comps starting in Q2 (last year's toughest quarter for reimbursement-driven pressure). A confirmed inflection here would support the AHS margin/growth algorithm.</w:t>
      </w:r>
    </w:p>
    <w:p>
      <w:pPr>
        <w:pStyle w:val="Compact"/>
        <w:numPr>
          <w:ilvl w:val="0"/>
          <w:numId w:val="1004"/>
        </w:numPr>
      </w:pPr>
      <w:r>
        <w:rPr>
          <w:b/>
          <w:bCs/>
        </w:rPr>
        <w:t xml:space="preserve">Capital allocation cadence.</w:t>
      </w:r>
      <w:r>
        <w:t xml:space="preserve"> </w:t>
      </w:r>
      <w:r>
        <w:t xml:space="preserve">After ~</w:t>
      </w:r>
      <m:oMath>
        <m:r>
          <m:t>500</m:t>
        </m:r>
        <m:r>
          <m:t>M</m:t>
        </m:r>
        <m:r>
          <m:t>o</m:t>
        </m:r>
        <m:r>
          <m:t>f</m:t>
        </m:r>
        <m:r>
          <m:t>b</m:t>
        </m:r>
        <m:r>
          <m:t>u</m:t>
        </m:r>
        <m:r>
          <m:t>y</m:t>
        </m:r>
        <m:r>
          <m:t>b</m:t>
        </m:r>
        <m:r>
          <m:t>a</m:t>
        </m:r>
        <m:r>
          <m:t>c</m:t>
        </m:r>
        <m:r>
          <m:t>k</m:t>
        </m:r>
        <m:r>
          <m:t>s</m:t>
        </m:r>
        <m:r>
          <m:t>i</m:t>
        </m:r>
        <m:r>
          <m:t>n</m:t>
        </m:r>
        <m:r>
          <m:t>Q</m:t>
        </m:r>
        <m:r>
          <m:t>1</m:t>
        </m:r>
        <m:r>
          <m:rPr>
            <m:sty m:val="p"/>
          </m:rPr>
          <m:t>(</m:t>
        </m:r>
        <m:r>
          <m:t>p</m:t>
        </m:r>
        <m:r>
          <m:t>a</m:t>
        </m:r>
        <m:r>
          <m:t>r</m:t>
        </m:r>
        <m:r>
          <m:t>t</m:t>
        </m:r>
        <m:r>
          <m:t>o</m:t>
        </m:r>
        <m:r>
          <m:t>f</m:t>
        </m:r>
        <m:r>
          <m:t> </m:t>
        </m:r>
      </m:oMath>
      <w:r>
        <w:t xml:space="preserve">1.8B cumulative since the spin), watch for the pace of Q2 repurchases, leverage trends (2.8x gross debt/EBITDA at Q1-end), and any incremental color on bolt-on M&amp;A activity — new corporate development head Corbin Walburger recently joined to lead a "revamped" M&amp;A engine.</w:t>
      </w:r>
    </w:p>
    <w:p>
      <w:pPr>
        <w:pStyle w:val="Compact"/>
        <w:numPr>
          <w:ilvl w:val="0"/>
          <w:numId w:val="1004"/>
        </w:numPr>
      </w:pPr>
      <w:r>
        <w:rPr>
          <w:b/>
          <w:bCs/>
        </w:rPr>
        <w:t xml:space="preserve">Guidance revision risk.</w:t>
      </w:r>
      <w:r>
        <w:t xml:space="preserve"> </w:t>
      </w:r>
      <w:r>
        <w:t xml:space="preserve">Given shares are trading above the average analyst price target and above where the stock sat after the Q1 beat (which still saw shares dip on the day), the bar for a "beat-and-raise" appears elevated. Simple guidance reaffirmation with in-line results could be treated as a "sell the news" event, as happened after Q1 (FTV shares closed down more than 3% after reporting its Q1 results despite beating estimates).</w:t>
      </w:r>
    </w:p>
    <w:bookmarkEnd w:id="13"/>
    <w:bookmarkStart w:id="14" w:name="longer-term-framework-context"/>
    <w:p>
      <w:pPr>
        <w:pStyle w:val="Heading2"/>
      </w:pPr>
      <w:r>
        <w:t xml:space="preserve">Longer-Term Framework Context</w:t>
      </w:r>
    </w:p>
    <w:p>
      <w:pPr>
        <w:pStyle w:val="FirstParagraph"/>
      </w:pPr>
      <w:r>
        <w:t xml:space="preserve">Fortive's 2026–2027 financial framework, laid out at its June 2025 Investor Day following the Ralliant spin-off, targets sustained</w:t>
      </w:r>
      <w:r>
        <w:t xml:space="preserve"> </w:t>
      </w:r>
      <w:r>
        <w:rPr>
          <w:b/>
          <w:bCs/>
        </w:rPr>
        <w:t xml:space="preserve">3–4%+ core revenue growth</w:t>
      </w:r>
      <w:r>
        <w:t xml:space="preserve">,</w:t>
      </w:r>
      <w:r>
        <w:t xml:space="preserve"> </w:t>
      </w:r>
      <w:r>
        <w:rPr>
          <w:b/>
          <w:bCs/>
        </w:rPr>
        <w:t xml:space="preserve">50–100bps of annual adjusted EBITDA margin expansion</w:t>
      </w:r>
      <w:r>
        <w:t xml:space="preserve">, and high-single-digit-plus adjusted EPS growth, underpinned by a &gt;50% recurring-revenue base and disciplined capital allocation (bolt-on M&amp;A competing with buybacks for capital, plus a growing dividend). Management has reiterated confidence in this framework each quarter since the spin, and three consecutive quarters of double-digit adjusted EPS growth support the "Fortive Accelerated" narrative — the market will be listening for whether Q2 keeps that streak alive.</w:t>
      </w:r>
    </w:p>
    <w:bookmarkEnd w:id="14"/>
    <w:bookmarkStart w:id="15" w:name="bottom-line"/>
    <w:p>
      <w:pPr>
        <w:pStyle w:val="Heading2"/>
      </w:pPr>
      <w:r>
        <w:t xml:space="preserve">Bottom Line</w:t>
      </w:r>
    </w:p>
    <w:p>
      <w:pPr>
        <w:pStyle w:val="FirstParagraph"/>
      </w:pPr>
      <w:r>
        <w:t xml:space="preserve">Fortive goes into Wednesday's print with strong recent momentum — three straight EPS beats, accelerating orders, an emerging data-center growth vector at Fluke, and a still-active buyback program — but also a stock price that has run ahead of consensus price targets and analyst ratings that remain skewed toward "Hold." Management's own guidance implies a sequentially flat EPS print versus Q1 (mid-$0.60s to $0.70s) rather than a seasonal step-up, so the key swing factors for the stock reaction will likely be: (1) whether order growth and core revenue trends actually accelerated as flagged, (2) any incremental raise to full-year EPS guidance beyond "trending toward the upper half" of</w:t>
      </w:r>
      <w:r>
        <w:t xml:space="preserve"> </w:t>
      </w:r>
      <m:oMath>
        <m:r>
          <m:t>2.90</m:t>
        </m:r>
        <m:r>
          <m:rPr>
            <m:sty m:val="p"/>
          </m:rPr>
          <m:t>–</m:t>
        </m:r>
      </m:oMath>
      <w:r>
        <w:t xml:space="preserve">3.00, and (3) commentary on tariff/margin cadence and capital deployment (buybacks vs. M&amp;A) for the back half of the year.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2026-07-29T01:10:03Z</dcterms:created>
  <dcterms:modified xsi:type="dcterms:W3CDTF">2026-07-29T01:10:03Z</dcterms:modified>
</cp:coreProperties>
</file>

<file path=docProps/custom.xml><?xml version="1.0" encoding="utf-8"?>
<Properties xmlns="http://schemas.openxmlformats.org/officeDocument/2006/custom-properties" xmlns:vt="http://schemas.openxmlformats.org/officeDocument/2006/docPropsVTypes"/>
</file>