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7f32e39760fe6a840fe5c3014dc3bf00f3fae8"/>
    <w:p>
      <w:pPr>
        <w:pStyle w:val="Heading1"/>
      </w:pPr>
      <w:r>
        <w:t xml:space="preserve">Fortive (NYSE: FTV) — Q2 2026 Earnings Preview</w:t>
      </w:r>
    </w:p>
    <w:p>
      <w:pPr>
        <w:pStyle w:val="BlockText"/>
      </w:pPr>
      <w:r>
        <w:rPr>
          <w:b/>
          <w:bCs/>
        </w:rPr>
        <w:t xml:space="preserve">Timing note:</w:t>
      </w:r>
      <w:r>
        <w:t xml:space="preserve"> </w:t>
      </w:r>
      <w:r>
        <w:t xml:space="preserve">Fortive’s official earnings call is scheduled for</w:t>
      </w:r>
      <w:r>
        <w:t xml:space="preserve"> </w:t>
      </w:r>
      <w:r>
        <w:rPr>
          <w:b/>
          <w:bCs/>
        </w:rPr>
        <w:t xml:space="preserve">Wednesday, July 29, 2026, at 12:00 p.m. ET</w:t>
      </w:r>
      <w:r>
        <w:t xml:space="preserve">—today, rather than tomorrow. This preview assumes results have not yet been released. (</w:t>
      </w:r>
      <w:hyperlink r:id="rId9">
        <w:r>
          <w:rPr>
            <w:rStyle w:val="Hyperlink"/>
          </w:rPr>
          <w:t xml:space="preserve">investors.fortive.com</w:t>
        </w:r>
      </w:hyperlink>
      <w:r>
        <w:t xml:space="preserve">)</w:t>
      </w:r>
    </w:p>
    <w:bookmarkStart w:id="11" w:name="executive-view"/>
    <w:p>
      <w:pPr>
        <w:pStyle w:val="Heading2"/>
      </w:pPr>
      <w:r>
        <w:t xml:space="preserve">Executive view</w:t>
      </w:r>
    </w:p>
    <w:p>
      <w:pPr>
        <w:pStyle w:val="FirstParagraph"/>
      </w:pPr>
      <w:r>
        <w:t xml:space="preserve">Fortive enters Q2 with good operating momentum, favorable comparisons, and a meaningfully lower share count. The principal question is no longer whether the post-Ralliant company can grow earnings—it is whether management can demonstrate that</w:t>
      </w:r>
      <w:r>
        <w:t xml:space="preserve"> </w:t>
      </w:r>
      <w:r>
        <w:rPr>
          <w:b/>
          <w:bCs/>
        </w:rPr>
        <w:t xml:space="preserve">mid-single-digit organic growth is becoming repeatable</w:t>
      </w:r>
      <w:r>
        <w:t xml:space="preserve">, rather than a product of selling-day benefits and easy comparisons.</w:t>
      </w:r>
    </w:p>
    <w:p>
      <w:pPr>
        <w:pStyle w:val="BodyText"/>
      </w:pPr>
      <w:r>
        <w:t xml:space="preserve">The expected headline numbers are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w:t>
            </w:r>
          </w:p>
        </w:tc>
        <w:tc>
          <w:tcPr/>
          <w:p>
            <w:pPr>
              <w:pStyle w:val="Compact"/>
              <w:jc w:val="right"/>
            </w:pPr>
            <w:r>
              <w:t xml:space="preserve">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$1.08B</w:t>
            </w:r>
          </w:p>
        </w:tc>
        <w:tc>
          <w:tcPr/>
          <w:p>
            <w:pPr>
              <w:pStyle w:val="Compact"/>
              <w:jc w:val="right"/>
            </w:pPr>
            <w:r>
              <w:t xml:space="preserve">$1.016B</w:t>
            </w:r>
          </w:p>
        </w:tc>
        <w:tc>
          <w:tcPr/>
          <w:p>
            <w:pPr>
              <w:pStyle w:val="Compact"/>
              <w:jc w:val="right"/>
            </w:pPr>
            <w:r>
              <w:t xml:space="preserve">~6%</w:t>
            </w:r>
          </w:p>
        </w:tc>
      </w:tr>
      <w:tr>
        <w:tc>
          <w:tcPr/>
          <w:p>
            <w:pPr>
              <w:pStyle w:val="Compact"/>
            </w:pPr>
            <w:r>
              <w:t xml:space="preserve">Adjusted EPS</w:t>
            </w:r>
          </w:p>
        </w:tc>
        <w:tc>
          <w:tcPr/>
          <w:p>
            <w:pPr>
              <w:pStyle w:val="Compact"/>
              <w:jc w:val="right"/>
            </w:pPr>
            <w:r>
              <w:rPr>
                <w:b/>
                <w:bCs/>
              </w:rPr>
              <w:t xml:space="preserve">$0.71</w:t>
            </w:r>
          </w:p>
        </w:tc>
        <w:tc>
          <w:tcPr/>
          <w:p>
            <w:pPr>
              <w:pStyle w:val="Compact"/>
              <w:jc w:val="right"/>
            </w:pPr>
            <w:r>
              <w:t xml:space="preserve">$0.58</w:t>
            </w:r>
          </w:p>
        </w:tc>
        <w:tc>
          <w:tcPr/>
          <w:p>
            <w:pPr>
              <w:pStyle w:val="Compact"/>
              <w:jc w:val="right"/>
            </w:pPr>
            <w:r>
              <w:t xml:space="preserve">~22%</w:t>
            </w:r>
          </w:p>
        </w:tc>
      </w:tr>
    </w:tbl>
    <w:p>
      <w:pPr>
        <w:pStyle w:val="BodyText"/>
      </w:pPr>
      <w:r>
        <w:t xml:space="preserve">Consensus estimates vary slightly by provider, but roughly center on $1.08 billion of revenue and $0.71 of adjusted EPS. (</w:t>
      </w:r>
      <w:hyperlink r:id="rId10">
        <w:r>
          <w:rPr>
            <w:rStyle w:val="Hyperlink"/>
          </w:rPr>
          <w:t xml:space="preserve">tipranks.com</w:t>
        </w:r>
      </w:hyperlink>
      <w:r>
        <w:t xml:space="preserve">)</w:t>
      </w:r>
    </w:p>
    <w:p>
      <w:pPr>
        <w:pStyle w:val="BodyText"/>
      </w:pPr>
      <w:r>
        <w:t xml:space="preserve">At the July 28 close of</w:t>
      </w:r>
      <w:r>
        <w:t xml:space="preserve"> </w:t>
      </w:r>
      <w:r>
        <w:rPr>
          <w:b/>
          <w:bCs/>
        </w:rPr>
        <w:t xml:space="preserve">$64.11</w:t>
      </w:r>
      <w:r>
        <w:t xml:space="preserve">, FTV has risen about</w:t>
      </w:r>
      <w:r>
        <w:t xml:space="preserve"> </w:t>
      </w:r>
      <w:r>
        <w:rPr>
          <w:b/>
          <w:bCs/>
        </w:rPr>
        <w:t xml:space="preserve">16% year to date</w:t>
      </w:r>
      <w:r>
        <w:t xml:space="preserve"> </w:t>
      </w:r>
      <w:r>
        <w:t xml:space="preserve">and approximately</w:t>
      </w:r>
      <w:r>
        <w:t xml:space="preserve"> </w:t>
      </w:r>
      <w:r>
        <w:rPr>
          <w:b/>
          <w:bCs/>
        </w:rPr>
        <w:t xml:space="preserve">7% since the Q1 report</w:t>
      </w:r>
      <w:r>
        <w:t xml:space="preserve">. At roughly</w:t>
      </w:r>
      <w:r>
        <w:t xml:space="preserve"> </w:t>
      </w:r>
      <w:r>
        <w:rPr>
          <w:b/>
          <w:bCs/>
        </w:rPr>
        <w:t xml:space="preserve">21–22 times</w:t>
      </w:r>
      <w:r>
        <w:t xml:space="preserve"> </w:t>
      </w:r>
      <w:r>
        <w:t xml:space="preserve">current 2026 EPS guidance, the stock is not priced for a bad quarter. A routine in-line result may therefore need constructive guidance and orders commentary to generate material upside.</w:t>
      </w:r>
    </w:p>
    <w:p>
      <w:r>
        <w:pict>
          <v:rect style="width:0;height:1.5pt" o:hralign="center" o:hrstd="t" o:hr="t"/>
        </w:pict>
      </w:r>
    </w:p>
    <w:bookmarkEnd w:id="11"/>
    <w:bookmarkStart w:id="13" w:name="Xa0c94c2a15cde4d22554e476ba0b26192b8621a"/>
    <w:p>
      <w:pPr>
        <w:pStyle w:val="Heading2"/>
      </w:pPr>
      <w:r>
        <w:t xml:space="preserve">What management already told investors to expect</w:t>
      </w:r>
    </w:p>
    <w:p>
      <w:pPr>
        <w:pStyle w:val="FirstParagraph"/>
      </w:pPr>
      <w:r>
        <w:t xml:space="preserve">Fortive’s Q1 results were strong:</w:t>
      </w:r>
    </w:p>
    <w:p>
      <w:pPr>
        <w:pStyle w:val="Compact"/>
        <w:numPr>
          <w:ilvl w:val="0"/>
          <w:numId w:val="1001"/>
        </w:numPr>
      </w:pPr>
      <w:r>
        <w:t xml:space="preserve">Revenue of</w:t>
      </w:r>
      <w:r>
        <w:t xml:space="preserve"> </w:t>
      </w:r>
      <w:r>
        <w:rPr>
          <w:b/>
          <w:bCs/>
        </w:rPr>
        <w:t xml:space="preserve">$1.069 billion</w:t>
      </w:r>
    </w:p>
    <w:p>
      <w:pPr>
        <w:pStyle w:val="Compact"/>
        <w:numPr>
          <w:ilvl w:val="0"/>
          <w:numId w:val="1001"/>
        </w:numPr>
      </w:pPr>
      <w:r>
        <w:t xml:space="preserve">Core growth of</w:t>
      </w:r>
      <w:r>
        <w:t xml:space="preserve"> </w:t>
      </w:r>
      <w:r>
        <w:rPr>
          <w:b/>
          <w:bCs/>
        </w:rPr>
        <w:t xml:space="preserve">5.3%</w:t>
      </w:r>
    </w:p>
    <w:p>
      <w:pPr>
        <w:pStyle w:val="Compact"/>
        <w:numPr>
          <w:ilvl w:val="0"/>
          <w:numId w:val="1001"/>
        </w:numPr>
      </w:pPr>
      <w:r>
        <w:t xml:space="preserve">Adjusted EBITDA of</w:t>
      </w:r>
      <w:r>
        <w:t xml:space="preserve"> </w:t>
      </w:r>
      <w:r>
        <w:rPr>
          <w:b/>
          <w:bCs/>
        </w:rPr>
        <w:t xml:space="preserve">$314 million</w:t>
      </w:r>
    </w:p>
    <w:p>
      <w:pPr>
        <w:pStyle w:val="Compact"/>
        <w:numPr>
          <w:ilvl w:val="0"/>
          <w:numId w:val="1001"/>
        </w:numPr>
      </w:pPr>
      <w:r>
        <w:t xml:space="preserve">Adjusted EBITDA margin of</w:t>
      </w:r>
      <w:r>
        <w:t xml:space="preserve"> </w:t>
      </w:r>
      <w:r>
        <w:rPr>
          <w:b/>
          <w:bCs/>
        </w:rPr>
        <w:t xml:space="preserve">29.3%</w:t>
      </w:r>
      <w:r>
        <w:t xml:space="preserve">, up approximately 140 basis points</w:t>
      </w:r>
    </w:p>
    <w:p>
      <w:pPr>
        <w:pStyle w:val="Compact"/>
        <w:numPr>
          <w:ilvl w:val="0"/>
          <w:numId w:val="1001"/>
        </w:numPr>
      </w:pPr>
      <w:r>
        <w:t xml:space="preserve">Adjusted EPS of</w:t>
      </w:r>
      <w:r>
        <w:t xml:space="preserve"> </w:t>
      </w:r>
      <w:r>
        <w:rPr>
          <w:b/>
          <w:bCs/>
        </w:rPr>
        <w:t xml:space="preserve">$0.70</w:t>
      </w:r>
      <w:r>
        <w:t xml:space="preserve">, up more than 25%</w:t>
      </w:r>
    </w:p>
    <w:p>
      <w:pPr>
        <w:pStyle w:val="Compact"/>
        <w:numPr>
          <w:ilvl w:val="0"/>
          <w:numId w:val="1001"/>
        </w:numPr>
      </w:pPr>
      <w:r>
        <w:t xml:space="preserve">Free cash flow of approximately</w:t>
      </w:r>
      <w:r>
        <w:t xml:space="preserve"> </w:t>
      </w:r>
      <w:r>
        <w:rPr>
          <w:b/>
          <w:bCs/>
        </w:rPr>
        <w:t xml:space="preserve">$194 million</w:t>
      </w:r>
    </w:p>
    <w:p>
      <w:pPr>
        <w:pStyle w:val="FirstParagraph"/>
      </w:pPr>
      <w:r>
        <w:t xml:space="preserve">Management reaffirmed full-year adjusted EPS guidance of</w:t>
      </w:r>
      <w:r>
        <w:t xml:space="preserve"> </w:t>
      </w:r>
      <m:oMath>
        <m:r>
          <m:t>2.90</m:t>
        </m:r>
        <m:r>
          <m:rPr>
            <m:sty m:val="p"/>
          </m:rPr>
          <m:t>–</m:t>
        </m:r>
      </m:oMath>
      <w:r>
        <w:rPr>
          <w:b/>
          <w:bCs/>
        </w:rPr>
        <w:t xml:space="preserve">3.00</w:t>
      </w:r>
      <w:r>
        <w:t xml:space="preserve">, but said results were trending toward the upper half. It also indicated that core growth was tracking toward the upper end of its</w:t>
      </w:r>
      <w:r>
        <w:t xml:space="preserve"> </w:t>
      </w:r>
      <w:r>
        <w:rPr>
          <w:b/>
          <w:bCs/>
        </w:rPr>
        <w:t xml:space="preserve">2%–3%</w:t>
      </w:r>
      <w:r>
        <w:t xml:space="preserve"> </w:t>
      </w:r>
      <w:r>
        <w:t xml:space="preserve">range. (</w:t>
      </w:r>
      <w:hyperlink r:id="rId12">
        <w:r>
          <w:rPr>
            <w:rStyle w:val="Hyperlink"/>
          </w:rPr>
          <w:t xml:space="preserve">investors.fortive.com</w:t>
        </w:r>
      </w:hyperlink>
      <w:r>
        <w:t xml:space="preserve">)</w:t>
      </w:r>
    </w:p>
    <w:p>
      <w:pPr>
        <w:pStyle w:val="BodyText"/>
      </w:pPr>
      <w:r>
        <w:t xml:space="preserve">For Q2 specifically, management guided investors toward:</w:t>
      </w:r>
    </w:p>
    <w:p>
      <w:pPr>
        <w:pStyle w:val="Compact"/>
        <w:numPr>
          <w:ilvl w:val="0"/>
          <w:numId w:val="1002"/>
        </w:numPr>
      </w:pPr>
      <w:r>
        <w:t xml:space="preserve">Revenue broadly similar to Q1</w:t>
      </w:r>
    </w:p>
    <w:p>
      <w:pPr>
        <w:pStyle w:val="Compact"/>
        <w:numPr>
          <w:ilvl w:val="0"/>
          <w:numId w:val="1002"/>
        </w:numPr>
      </w:pPr>
      <w:r>
        <w:t xml:space="preserve">Adjusted EPS broadly similar to Q1’s $0.70</w:t>
      </w:r>
    </w:p>
    <w:p>
      <w:pPr>
        <w:pStyle w:val="Compact"/>
        <w:numPr>
          <w:ilvl w:val="0"/>
          <w:numId w:val="1002"/>
        </w:numPr>
      </w:pPr>
      <w:r>
        <w:t xml:space="preserve">Approximately</w:t>
      </w:r>
      <w:r>
        <w:t xml:space="preserve"> </w:t>
      </w:r>
      <w:r>
        <w:rPr>
          <w:b/>
          <w:bCs/>
        </w:rPr>
        <w:t xml:space="preserve">150 basis points of combined FX and acquisition benefit</w:t>
      </w:r>
      <w:r>
        <w:t xml:space="preserve"> </w:t>
      </w:r>
      <w:r>
        <w:t xml:space="preserve">to reported revenue</w:t>
      </w:r>
    </w:p>
    <w:p>
      <w:pPr>
        <w:pStyle w:val="Compact"/>
        <w:numPr>
          <w:ilvl w:val="0"/>
          <w:numId w:val="1002"/>
        </w:numPr>
      </w:pPr>
      <w:r>
        <w:t xml:space="preserve">A mid-teens effective tax rate</w:t>
      </w:r>
    </w:p>
    <w:p>
      <w:pPr>
        <w:pStyle w:val="FirstParagraph"/>
      </w:pPr>
      <w:r>
        <w:t xml:space="preserve">That puts consensus almost directly on top of management’s prior framework. The more important information will consequently be the composition and durability of growth—not a one- or two-cent EPS variance.</w:t>
      </w:r>
    </w:p>
    <w:p>
      <w:r>
        <w:pict>
          <v:rect style="width:0;height:1.5pt" o:hralign="center" o:hrstd="t" o:hr="t"/>
        </w:pict>
      </w:r>
    </w:p>
    <w:bookmarkEnd w:id="13"/>
    <w:bookmarkStart w:id="14" w:name="X44844250293e23cb5dd1a9fa2d15724fc8ae9d9"/>
    <w:p>
      <w:pPr>
        <w:pStyle w:val="Heading2"/>
      </w:pPr>
      <w:r>
        <w:t xml:space="preserve">The central issue: underlying growth after adjusting for calendar effects</w:t>
      </w:r>
    </w:p>
    <w:p>
      <w:pPr>
        <w:pStyle w:val="FirstParagraph"/>
      </w:pPr>
      <w:r>
        <w:t xml:space="preserve">Q1’s 5.3% core growth included approximately</w:t>
      </w:r>
      <w:r>
        <w:t xml:space="preserve"> </w:t>
      </w:r>
      <w:r>
        <w:rPr>
          <w:b/>
          <w:bCs/>
        </w:rPr>
        <w:t xml:space="preserve">150 basis points from extra selling days</w:t>
      </w:r>
      <w:r>
        <w:t xml:space="preserve">, implying underlying growth closer to 4%. The segment effects were uneven: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Q1 2026</w:t>
            </w:r>
          </w:p>
        </w:tc>
        <w:tc>
          <w:tcPr/>
          <w:p>
            <w:pPr>
              <w:pStyle w:val="Compact"/>
              <w:jc w:val="right"/>
            </w:pPr>
            <w:r>
              <w:t xml:space="preserve">Reported core growth</w:t>
            </w:r>
          </w:p>
        </w:tc>
        <w:tc>
          <w:tcPr/>
          <w:p>
            <w:pPr>
              <w:pStyle w:val="Compact"/>
              <w:jc w:val="right"/>
            </w:pPr>
            <w:r>
              <w:t xml:space="preserve">Selling-day benefit</w:t>
            </w:r>
          </w:p>
        </w:tc>
        <w:tc>
          <w:tcPr/>
          <w:p>
            <w:pPr>
              <w:pStyle w:val="Compact"/>
              <w:jc w:val="right"/>
            </w:pPr>
            <w:r>
              <w:t xml:space="preserve">Approx. normalized growth</w:t>
            </w:r>
          </w:p>
        </w:tc>
      </w:tr>
      <w:tr>
        <w:tc>
          <w:tcPr/>
          <w:p>
            <w:pPr>
              <w:pStyle w:val="Compact"/>
            </w:pPr>
            <w:r>
              <w:t xml:space="preserve">Intelligent Operating Solutions</w:t>
            </w:r>
          </w:p>
        </w:tc>
        <w:tc>
          <w:tcPr/>
          <w:p>
            <w:pPr>
              <w:pStyle w:val="Compact"/>
              <w:jc w:val="right"/>
            </w:pPr>
            <w:r>
              <w:t xml:space="preserve">5.2%</w:t>
            </w:r>
          </w:p>
        </w:tc>
        <w:tc>
          <w:tcPr/>
          <w:p>
            <w:pPr>
              <w:pStyle w:val="Compact"/>
              <w:jc w:val="right"/>
            </w:pPr>
            <w:r>
              <w:t xml:space="preserve">~100 bps</w:t>
            </w:r>
          </w:p>
        </w:tc>
        <w:tc>
          <w:tcPr/>
          <w:p>
            <w:pPr>
              <w:pStyle w:val="Compact"/>
              <w:jc w:val="right"/>
            </w:pPr>
            <w:r>
              <w:t xml:space="preserve">~4%</w:t>
            </w:r>
          </w:p>
        </w:tc>
      </w:tr>
      <w:tr>
        <w:tc>
          <w:tcPr/>
          <w:p>
            <w:pPr>
              <w:pStyle w:val="Compact"/>
            </w:pPr>
            <w:r>
              <w:t xml:space="preserve">Advanced Healthcare Solutions</w:t>
            </w:r>
          </w:p>
        </w:tc>
        <w:tc>
          <w:tcPr/>
          <w:p>
            <w:pPr>
              <w:pStyle w:val="Compact"/>
              <w:jc w:val="right"/>
            </w:pPr>
            <w:r>
              <w:t xml:space="preserve">5.8%</w:t>
            </w:r>
          </w:p>
        </w:tc>
        <w:tc>
          <w:tcPr/>
          <w:p>
            <w:pPr>
              <w:pStyle w:val="Compact"/>
              <w:jc w:val="right"/>
            </w:pPr>
            <w:r>
              <w:t xml:space="preserve">~300 bps</w:t>
            </w:r>
          </w:p>
        </w:tc>
        <w:tc>
          <w:tcPr/>
          <w:p>
            <w:pPr>
              <w:pStyle w:val="Compact"/>
              <w:jc w:val="right"/>
            </w:pPr>
            <w:r>
              <w:t xml:space="preserve">~3%</w:t>
            </w:r>
          </w:p>
        </w:tc>
      </w:tr>
      <w:tr>
        <w:tc>
          <w:tcPr/>
          <w:p>
            <w:pPr>
              <w:pStyle w:val="Compact"/>
            </w:pPr>
            <w:r>
              <w:t xml:space="preserve">Consolidated</w:t>
            </w:r>
          </w:p>
        </w:tc>
        <w:tc>
          <w:tcPr/>
          <w:p>
            <w:pPr>
              <w:pStyle w:val="Compact"/>
              <w:jc w:val="right"/>
            </w:pPr>
            <w:r>
              <w:t xml:space="preserve">5.3%</w:t>
            </w:r>
          </w:p>
        </w:tc>
        <w:tc>
          <w:tcPr/>
          <w:p>
            <w:pPr>
              <w:pStyle w:val="Compact"/>
              <w:jc w:val="right"/>
            </w:pPr>
            <w:r>
              <w:t xml:space="preserve">~150 bps</w:t>
            </w:r>
          </w:p>
        </w:tc>
        <w:tc>
          <w:tcPr/>
          <w:p>
            <w:pPr>
              <w:pStyle w:val="Compact"/>
              <w:jc w:val="right"/>
            </w:pPr>
            <w:r>
              <w:t xml:space="preserve">~4%</w:t>
            </w:r>
          </w:p>
        </w:tc>
      </w:tr>
    </w:tbl>
    <w:p>
      <w:pPr>
        <w:pStyle w:val="BodyText"/>
      </w:pPr>
      <w:r>
        <w:t xml:space="preserve">Q2 consensus revenue of $1.08 billion implies roughly</w:t>
      </w:r>
      <w:r>
        <w:t xml:space="preserve"> </w:t>
      </w:r>
      <w:r>
        <w:rPr>
          <w:b/>
          <w:bCs/>
        </w:rPr>
        <w:t xml:space="preserve">6.3% reported growth</w:t>
      </w:r>
      <w:r>
        <w:t xml:space="preserve"> </w:t>
      </w:r>
      <w:r>
        <w:t xml:space="preserve">against the weak Q2 2025 comparison. Subtracting management’s expected 150-basis-point FX/M&amp;A contribution suggests an implied core-growth hurdle near</w:t>
      </w:r>
      <w:r>
        <w:t xml:space="preserve"> </w:t>
      </w:r>
      <w:r>
        <w:rPr>
          <w:b/>
          <w:bCs/>
        </w:rPr>
        <w:t xml:space="preserve">5%</w:t>
      </w:r>
      <w:r>
        <w:t xml:space="preserve">, subject to rounding and actual acquisition timing.</w:t>
      </w:r>
    </w:p>
    <w:p>
      <w:pPr>
        <w:pStyle w:val="BodyText"/>
      </w:pPr>
      <w:r>
        <w:t xml:space="preserve">That would represent genuine acceleration from Q1’s calendar-normalized result. If core growth is only 3%–4%, the headline revenue number could still look respectable, but investors may conclude that the business remains closer to its 2%–3% annual algorithm than management’s recent momentum commentary suggests.</w:t>
      </w:r>
    </w:p>
    <w:p>
      <w:r>
        <w:pict>
          <v:rect style="width:0;height:1.5pt" o:hralign="center" o:hrstd="t" o:hr="t"/>
        </w:pict>
      </w:r>
    </w:p>
    <w:bookmarkEnd w:id="14"/>
    <w:bookmarkStart w:id="21" w:name="segment-watch"/>
    <w:p>
      <w:pPr>
        <w:pStyle w:val="Heading2"/>
      </w:pPr>
      <w:r>
        <w:t xml:space="preserve">Segment watch</w:t>
      </w:r>
    </w:p>
    <w:bookmarkStart w:id="19" w:name="X9545e3e91395ac9325f2d8715b3ceaa2e047d28"/>
    <w:p>
      <w:pPr>
        <w:pStyle w:val="Heading3"/>
      </w:pPr>
      <w:r>
        <w:t xml:space="preserve">1. Intelligent Operating Solutions: the main earnings driver</w:t>
      </w:r>
    </w:p>
    <w:p>
      <w:pPr>
        <w:pStyle w:val="FirstParagraph"/>
      </w:pPr>
      <w:r>
        <w:t xml:space="preserve">IOS represents roughly 70% of revenue and an even larger proportion of segment EBITDA. Q2 2025 revenue was $697 million with a 33.8% adjusted EBITDA margin, making this the most important segment for both the top line and incremental margins. (</w:t>
      </w:r>
      <w:hyperlink r:id="rId15">
        <w:r>
          <w:rPr>
            <w:rStyle w:val="Hyperlink"/>
          </w:rPr>
          <w:t xml:space="preserve">investors.fortive.com</w:t>
        </w:r>
      </w:hyperlink>
      <w:r>
        <w:t xml:space="preserve">)</w:t>
      </w:r>
    </w:p>
    <w:p>
      <w:pPr>
        <w:pStyle w:val="BodyText"/>
      </w:pPr>
      <w:r>
        <w:t xml:space="preserve">Key areas to monitor:</w:t>
      </w:r>
    </w:p>
    <w:bookmarkStart w:id="16" w:name="fluke-and-data-centers"/>
    <w:p>
      <w:pPr>
        <w:pStyle w:val="Heading4"/>
      </w:pPr>
      <w:r>
        <w:t xml:space="preserve">Fluke and data centers</w:t>
      </w:r>
    </w:p>
    <w:p>
      <w:pPr>
        <w:pStyle w:val="FirstParagraph"/>
      </w:pPr>
      <w:r>
        <w:t xml:space="preserve">Management has highlighted strong demand for Fluke’s new CertiFiber Max fiber-testing platform and potential pull-through into power quality, thermal imaging, battery testing and calibration products. The data-center opportunity covers both construction and the longer-lived maintenance cycle.</w:t>
      </w:r>
    </w:p>
    <w:p>
      <w:pPr>
        <w:pStyle w:val="BodyText"/>
      </w:pPr>
      <w:r>
        <w:t xml:space="preserve">Investors should listen for:</w:t>
      </w:r>
    </w:p>
    <w:p>
      <w:pPr>
        <w:pStyle w:val="Compact"/>
        <w:numPr>
          <w:ilvl w:val="0"/>
          <w:numId w:val="1003"/>
        </w:numPr>
      </w:pPr>
      <w:r>
        <w:t xml:space="preserve">Quantification of data-center growth or exposure</w:t>
      </w:r>
    </w:p>
    <w:p>
      <w:pPr>
        <w:pStyle w:val="Compact"/>
        <w:numPr>
          <w:ilvl w:val="0"/>
          <w:numId w:val="1003"/>
        </w:numPr>
      </w:pPr>
      <w:r>
        <w:t xml:space="preserve">Continued order growth ahead of revenue</w:t>
      </w:r>
    </w:p>
    <w:p>
      <w:pPr>
        <w:pStyle w:val="Compact"/>
        <w:numPr>
          <w:ilvl w:val="0"/>
          <w:numId w:val="1003"/>
        </w:numPr>
      </w:pPr>
      <w:r>
        <w:t xml:space="preserve">Whether CertiFiber is generating broader tool-suite sales</w:t>
      </w:r>
    </w:p>
    <w:p>
      <w:pPr>
        <w:pStyle w:val="Compact"/>
        <w:numPr>
          <w:ilvl w:val="0"/>
          <w:numId w:val="1003"/>
        </w:numPr>
      </w:pPr>
      <w:r>
        <w:t xml:space="preserve">Distributor point-of-sale trends and channel inventory</w:t>
      </w:r>
    </w:p>
    <w:p>
      <w:pPr>
        <w:pStyle w:val="Compact"/>
        <w:numPr>
          <w:ilvl w:val="0"/>
          <w:numId w:val="1003"/>
        </w:numPr>
      </w:pPr>
      <w:r>
        <w:t xml:space="preserve">European improvement after North America led Q1 growth</w:t>
      </w:r>
    </w:p>
    <w:p>
      <w:pPr>
        <w:pStyle w:val="FirstParagraph"/>
      </w:pPr>
      <w:r>
        <w:t xml:space="preserve">A strong Fluke result is particularly important because management said Fluke’s Q1 book-to-bill exceeded one and orders grew faster than revenue.</w:t>
      </w:r>
    </w:p>
    <w:bookmarkEnd w:id="16"/>
    <w:bookmarkStart w:id="17" w:name="facility-and-asset-lifecycle-software"/>
    <w:p>
      <w:pPr>
        <w:pStyle w:val="Heading4"/>
      </w:pPr>
      <w:r>
        <w:t xml:space="preserve">Facility and Asset Lifecycle software</w:t>
      </w:r>
    </w:p>
    <w:p>
      <w:pPr>
        <w:pStyle w:val="FirstParagraph"/>
      </w:pPr>
      <w:r>
        <w:t xml:space="preserve">ServiceChannel, Gordian and the broader FAL portfolio grew faster than IOS in Q1, supported by healthy ARR and retention metrics. Q2 includes an important state and local government spending period for Gordian.</w:t>
      </w:r>
    </w:p>
    <w:p>
      <w:pPr>
        <w:pStyle w:val="BodyText"/>
      </w:pPr>
      <w:r>
        <w:t xml:space="preserve">Watch for:</w:t>
      </w:r>
    </w:p>
    <w:p>
      <w:pPr>
        <w:pStyle w:val="Compact"/>
        <w:numPr>
          <w:ilvl w:val="0"/>
          <w:numId w:val="1004"/>
        </w:numPr>
      </w:pPr>
      <w:r>
        <w:t xml:space="preserve">ARR growth and net-dollar-retention trends</w:t>
      </w:r>
    </w:p>
    <w:p>
      <w:pPr>
        <w:pStyle w:val="Compact"/>
        <w:numPr>
          <w:ilvl w:val="0"/>
          <w:numId w:val="1004"/>
        </w:numPr>
      </w:pPr>
      <w:r>
        <w:t xml:space="preserve">ServiceChannel’s North American momentum</w:t>
      </w:r>
    </w:p>
    <w:p>
      <w:pPr>
        <w:pStyle w:val="Compact"/>
        <w:numPr>
          <w:ilvl w:val="0"/>
          <w:numId w:val="1004"/>
        </w:numPr>
      </w:pPr>
      <w:r>
        <w:t xml:space="preserve">Evidence that AI-enabled products are increasing adoption or pricing</w:t>
      </w:r>
    </w:p>
    <w:p>
      <w:pPr>
        <w:pStyle w:val="Compact"/>
        <w:numPr>
          <w:ilvl w:val="0"/>
          <w:numId w:val="1004"/>
        </w:numPr>
      </w:pPr>
      <w:r>
        <w:t xml:space="preserve">Gordian’s state and local government spending activity</w:t>
      </w:r>
    </w:p>
    <w:p>
      <w:pPr>
        <w:pStyle w:val="Compact"/>
        <w:numPr>
          <w:ilvl w:val="0"/>
          <w:numId w:val="1004"/>
        </w:numPr>
      </w:pPr>
      <w:r>
        <w:t xml:space="preserve">Whether FAL can sustain mid-single-digit or better growth</w:t>
      </w:r>
    </w:p>
    <w:bookmarkEnd w:id="17"/>
    <w:bookmarkStart w:id="18" w:name="gas-detection"/>
    <w:p>
      <w:pPr>
        <w:pStyle w:val="Heading4"/>
      </w:pPr>
      <w:r>
        <w:t xml:space="preserve">Gas detection</w:t>
      </w:r>
    </w:p>
    <w:p>
      <w:pPr>
        <w:pStyle w:val="FirstParagraph"/>
      </w:pPr>
      <w:r>
        <w:t xml:space="preserve">Industrial Scientific’s Hardware-as-a-Service offering has been gaining share, with favorable demand in North America, Europe and the Middle East. Recurring-service growth would reinforce the argument that Fortive’s revenue mix is becoming more durable.</w:t>
      </w:r>
    </w:p>
    <w:p>
      <w:r>
        <w:pict>
          <v:rect style="width:0;height:1.5pt" o:hralign="center" o:hrstd="t" o:hr="t"/>
        </w:pict>
      </w:r>
    </w:p>
    <w:bookmarkEnd w:id="18"/>
    <w:bookmarkEnd w:id="19"/>
    <w:bookmarkStart w:id="20" w:name="X7e9c8bd0569e87d51e722980f7b01657b941a1b"/>
    <w:p>
      <w:pPr>
        <w:pStyle w:val="Heading3"/>
      </w:pPr>
      <w:r>
        <w:t xml:space="preserve">2. Advanced Healthcare Solutions: easy comparison, but capital spending remains uncertain</w:t>
      </w:r>
    </w:p>
    <w:p>
      <w:pPr>
        <w:pStyle w:val="FirstParagraph"/>
      </w:pPr>
      <w:r>
        <w:t xml:space="preserve">AHS generated $320 million of revenue in Q2 2025, with core revenue down 1.9%. The weak comparison reflected pressure on hospital capital spending, making Q2 2026 an important test of the recovery narrative. (</w:t>
      </w:r>
      <w:hyperlink r:id="rId15">
        <w:r>
          <w:rPr>
            <w:rStyle w:val="Hyperlink"/>
          </w:rPr>
          <w:t xml:space="preserve">investors.fortive.com</w:t>
        </w:r>
      </w:hyperlink>
      <w:r>
        <w:t xml:space="preserve">)</w:t>
      </w:r>
    </w:p>
    <w:p>
      <w:pPr>
        <w:pStyle w:val="BodyText"/>
      </w:pPr>
      <w:r>
        <w:t xml:space="preserve">The segment has three different demand profiles:</w:t>
      </w:r>
    </w:p>
    <w:p>
      <w:pPr>
        <w:pStyle w:val="Compact"/>
        <w:numPr>
          <w:ilvl w:val="0"/>
          <w:numId w:val="1005"/>
        </w:numPr>
      </w:pPr>
      <w:r>
        <w:rPr>
          <w:b/>
          <w:bCs/>
        </w:rPr>
        <w:t xml:space="preserve">Sterilization consumables and services:</w:t>
      </w:r>
      <w:r>
        <w:t xml:space="preserve"> </w:t>
      </w:r>
      <w:r>
        <w:t xml:space="preserve">defensive, recurring and generally resilient.</w:t>
      </w:r>
    </w:p>
    <w:p>
      <w:pPr>
        <w:pStyle w:val="Compact"/>
        <w:numPr>
          <w:ilvl w:val="0"/>
          <w:numId w:val="1005"/>
        </w:numPr>
      </w:pPr>
      <w:r>
        <w:rPr>
          <w:b/>
          <w:bCs/>
        </w:rPr>
        <w:t xml:space="preserve">Healthcare software:</w:t>
      </w:r>
      <w:r>
        <w:t xml:space="preserve"> </w:t>
      </w:r>
      <w:r>
        <w:t xml:space="preserve">currently growing faster than the company, aided by GI documentation products and AI-enabled workflow tools.</w:t>
      </w:r>
    </w:p>
    <w:p>
      <w:pPr>
        <w:pStyle w:val="Compact"/>
        <w:numPr>
          <w:ilvl w:val="0"/>
          <w:numId w:val="1005"/>
        </w:numPr>
      </w:pPr>
      <w:r>
        <w:rPr>
          <w:b/>
          <w:bCs/>
        </w:rPr>
        <w:t xml:space="preserve">Sterilization capital equipment:</w:t>
      </w:r>
      <w:r>
        <w:t xml:space="preserve"> </w:t>
      </w:r>
      <w:r>
        <w:t xml:space="preserve">more exposed to hospital budgets and procurement timing.</w:t>
      </w:r>
    </w:p>
    <w:p>
      <w:pPr>
        <w:pStyle w:val="FirstParagraph"/>
      </w:pPr>
      <w:r>
        <w:t xml:space="preserve">The ideal result would combine continued consumables and software strength with a clear sequential improvement in capital equipment. AHS can still report reasonable growth without a capital recovery because of its easy comparison, so management’s description of orders and customer budgets will matter more than the headline growth rate.</w:t>
      </w:r>
    </w:p>
    <w:p>
      <w:pPr>
        <w:pStyle w:val="BodyText"/>
      </w:pPr>
      <w:r>
        <w:t xml:space="preserve">Also watch the “made-in-region” strategy in China and India. Management said these programs were beginning to help demand, but the benefits have not yet been quantified.</w:t>
      </w:r>
    </w:p>
    <w:p>
      <w:r>
        <w:pict>
          <v:rect style="width:0;height:1.5pt" o:hralign="center" o:hrstd="t" o:hr="t"/>
        </w:pict>
      </w:r>
    </w:p>
    <w:bookmarkEnd w:id="20"/>
    <w:bookmarkEnd w:id="21"/>
    <w:bookmarkStart w:id="22" w:name="Xbee107255c011e0ba149c930bf39afe32bd2682"/>
    <w:p>
      <w:pPr>
        <w:pStyle w:val="Heading2"/>
      </w:pPr>
      <w:r>
        <w:t xml:space="preserve">Margins: can tariff pressure begin to fade?</w:t>
      </w:r>
    </w:p>
    <w:p>
      <w:pPr>
        <w:pStyle w:val="FirstParagraph"/>
      </w:pPr>
      <w:r>
        <w:t xml:space="preserve">Q1 adjusted EBITDA margin expanded 140 basis points to 29.3%, even though gross margin fell approximately 100 basis points. The gross-margin decline was largely attributed to the net effect of tariffs.</w:t>
      </w:r>
    </w:p>
    <w:p>
      <w:pPr>
        <w:pStyle w:val="BodyText"/>
      </w:pPr>
      <w:r>
        <w:t xml:space="preserve">Management’s prior timetable was:</w:t>
      </w:r>
    </w:p>
    <w:p>
      <w:pPr>
        <w:pStyle w:val="Compact"/>
        <w:numPr>
          <w:ilvl w:val="0"/>
          <w:numId w:val="1006"/>
        </w:numPr>
      </w:pPr>
      <w:r>
        <w:t xml:space="preserve">Tariff pressure continues through part of Q3</w:t>
      </w:r>
    </w:p>
    <w:p>
      <w:pPr>
        <w:pStyle w:val="Compact"/>
        <w:numPr>
          <w:ilvl w:val="0"/>
          <w:numId w:val="1006"/>
        </w:numPr>
      </w:pPr>
      <w:r>
        <w:t xml:space="preserve">Countermeasures become fully effective during Q3</w:t>
      </w:r>
    </w:p>
    <w:p>
      <w:pPr>
        <w:pStyle w:val="Compact"/>
        <w:numPr>
          <w:ilvl w:val="0"/>
          <w:numId w:val="1006"/>
        </w:numPr>
      </w:pPr>
      <w:r>
        <w:t xml:space="preserve">The year-over-year tariff drag largely disappears in Q4</w:t>
      </w:r>
    </w:p>
    <w:p>
      <w:pPr>
        <w:pStyle w:val="Compact"/>
        <w:numPr>
          <w:ilvl w:val="0"/>
          <w:numId w:val="1006"/>
        </w:numPr>
      </w:pPr>
      <w:r>
        <w:t xml:space="preserve">Full-year and medium-term adjusted EBITDA margin expansion remains</w:t>
      </w:r>
      <w:r>
        <w:t xml:space="preserve"> </w:t>
      </w:r>
      <w:r>
        <w:rPr>
          <w:b/>
          <w:bCs/>
        </w:rPr>
        <w:t xml:space="preserve">50–100 basis points annually</w:t>
      </w:r>
    </w:p>
    <w:p>
      <w:pPr>
        <w:pStyle w:val="FirstParagraph"/>
      </w:pPr>
      <w:r>
        <w:t xml:space="preserve">Q2 2025 adjusted EBITDA margin was 28.4%, so a Q2 margin around 29.3% would represent approximately 90 basis points of expansion. That would be consistent with the annual framework.</w:t>
      </w:r>
    </w:p>
    <w:p>
      <w:pPr>
        <w:pStyle w:val="BodyText"/>
      </w:pPr>
      <w:r>
        <w:t xml:space="preserve">Investors should separate:</w:t>
      </w:r>
    </w:p>
    <w:p>
      <w:pPr>
        <w:pStyle w:val="Compact"/>
        <w:numPr>
          <w:ilvl w:val="0"/>
          <w:numId w:val="1007"/>
        </w:numPr>
      </w:pPr>
      <w:r>
        <w:rPr>
          <w:b/>
          <w:bCs/>
        </w:rPr>
        <w:t xml:space="preserve">Gross-margin performance</w:t>
      </w:r>
      <w:r>
        <w:t xml:space="preserve">, where tariffs and product mix remain headwinds</w:t>
      </w:r>
    </w:p>
    <w:p>
      <w:pPr>
        <w:pStyle w:val="Compact"/>
        <w:numPr>
          <w:ilvl w:val="0"/>
          <w:numId w:val="1007"/>
        </w:numPr>
      </w:pPr>
      <w:r>
        <w:rPr>
          <w:b/>
          <w:bCs/>
        </w:rPr>
        <w:t xml:space="preserve">Operating-expense leverage</w:t>
      </w:r>
      <w:r>
        <w:t xml:space="preserve">, where restructuring and corporate-cost reductions have been strong</w:t>
      </w:r>
    </w:p>
    <w:p>
      <w:pPr>
        <w:pStyle w:val="Compact"/>
        <w:numPr>
          <w:ilvl w:val="0"/>
          <w:numId w:val="1007"/>
        </w:numPr>
      </w:pPr>
      <w:r>
        <w:rPr>
          <w:b/>
          <w:bCs/>
        </w:rPr>
        <w:t xml:space="preserve">Underlying productivity</w:t>
      </w:r>
      <w:r>
        <w:t xml:space="preserve">, which is more repeatable</w:t>
      </w:r>
    </w:p>
    <w:p>
      <w:pPr>
        <w:pStyle w:val="Compact"/>
        <w:numPr>
          <w:ilvl w:val="0"/>
          <w:numId w:val="1007"/>
        </w:numPr>
      </w:pPr>
      <w:r>
        <w:rPr>
          <w:b/>
          <w:bCs/>
        </w:rPr>
        <w:t xml:space="preserve">Share-count effects</w:t>
      </w:r>
      <w:r>
        <w:t xml:space="preserve">, which lift EPS but do not demonstrate operating improvement</w:t>
      </w:r>
    </w:p>
    <w:p>
      <w:pPr>
        <w:pStyle w:val="FirstParagraph"/>
      </w:pPr>
      <w:r>
        <w:t xml:space="preserve">A result driven primarily by lower corporate expenses and repurchases would be lower quality than one supported by stable gross margin and strong segment-level incrementals.</w:t>
      </w:r>
    </w:p>
    <w:p>
      <w:r>
        <w:pict>
          <v:rect style="width:0;height:1.5pt" o:hralign="center" o:hrstd="t" o:hr="t"/>
        </w:pict>
      </w:r>
    </w:p>
    <w:bookmarkEnd w:id="22"/>
    <w:bookmarkStart w:id="24" w:name="X3678a61f939f812ea6b0e7bcc94bfa6c86e9582"/>
    <w:p>
      <w:pPr>
        <w:pStyle w:val="Heading2"/>
      </w:pPr>
      <w:r>
        <w:t xml:space="preserve">Guidance is likely to drive the stock reaction</w:t>
      </w:r>
    </w:p>
    <w:p>
      <w:pPr>
        <w:pStyle w:val="FirstParagraph"/>
      </w:pPr>
      <w:r>
        <w:t xml:space="preserve">Current full-year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Existing outlook</w:t>
            </w:r>
          </w:p>
        </w:tc>
      </w:tr>
      <w:tr>
        <w:tc>
          <w:tcPr/>
          <w:p>
            <w:pPr>
              <w:pStyle w:val="Compact"/>
            </w:pPr>
            <w:r>
              <w:t xml:space="preserve">Revenue</w:t>
            </w:r>
          </w:p>
        </w:tc>
        <w:tc>
          <w:tcPr/>
          <w:p>
            <w:pPr>
              <w:pStyle w:val="Compact"/>
              <w:jc w:val="right"/>
            </w:pPr>
            <w:r>
              <w:t xml:space="preserve">Around</w:t>
            </w:r>
            <w:r>
              <w:t xml:space="preserve"> </w:t>
            </w:r>
            <w:r>
              <w:rPr>
                <w:b/>
                <w:bCs/>
              </w:rPr>
              <w:t xml:space="preserve">$4.3B</w:t>
            </w:r>
          </w:p>
        </w:tc>
      </w:tr>
      <w:tr>
        <w:tc>
          <w:tcPr/>
          <w:p>
            <w:pPr>
              <w:pStyle w:val="Compact"/>
            </w:pPr>
            <w:r>
              <w:t xml:space="preserve">Core growth</w:t>
            </w:r>
          </w:p>
        </w:tc>
        <w:tc>
          <w:tcPr/>
          <w:p>
            <w:pPr>
              <w:pStyle w:val="Compact"/>
              <w:jc w:val="right"/>
            </w:pPr>
            <w:r>
              <w:rPr>
                <w:b/>
                <w:bCs/>
              </w:rPr>
              <w:t xml:space="preserve">2%–3%</w:t>
            </w:r>
            <w:r>
              <w:t xml:space="preserve">, trending toward upper end</w:t>
            </w:r>
          </w:p>
        </w:tc>
      </w:tr>
      <w:tr>
        <w:tc>
          <w:tcPr/>
          <w:p>
            <w:pPr>
              <w:pStyle w:val="Compact"/>
            </w:pPr>
            <w:r>
              <w:t xml:space="preserve">Adjusted EPS</w:t>
            </w:r>
          </w:p>
        </w:tc>
        <w:tc>
          <w:tcPr/>
          <w:p>
            <w:pPr>
              <w:pStyle w:val="Compact"/>
              <w:jc w:val="right"/>
            </w:pPr>
            <m:oMath>
              <m:r>
                <m:t>2.90</m:t>
              </m:r>
              <m:r>
                <m:rPr>
                  <m:sty m:val="p"/>
                </m:rPr>
                <m:t>–</m:t>
              </m:r>
            </m:oMath>
            <w:r>
              <w:rPr>
                <w:b/>
                <w:bCs/>
              </w:rPr>
              <w:t xml:space="preserve">3.00</w:t>
            </w:r>
            <w:r>
              <w:t xml:space="preserve">, trending toward upper half</w:t>
            </w:r>
          </w:p>
        </w:tc>
      </w:tr>
      <w:tr>
        <w:tc>
          <w:tcPr/>
          <w:p>
            <w:pPr>
              <w:pStyle w:val="Compact"/>
            </w:pPr>
            <w:r>
              <w:t xml:space="preserve">Net interest expense</w:t>
            </w:r>
          </w:p>
        </w:tc>
        <w:tc>
          <w:tcPr/>
          <w:p>
            <w:pPr>
              <w:pStyle w:val="Compact"/>
              <w:jc w:val="right"/>
            </w:pPr>
            <w:r>
              <w:t xml:space="preserve">Just over</w:t>
            </w:r>
            <w:r>
              <w:t xml:space="preserve"> </w:t>
            </w:r>
            <w:r>
              <w:rPr>
                <w:b/>
                <w:bCs/>
              </w:rPr>
              <w:t xml:space="preserve">$135M</w:t>
            </w:r>
          </w:p>
        </w:tc>
      </w:tr>
      <w:tr>
        <w:tc>
          <w:tcPr/>
          <w:p>
            <w:pPr>
              <w:pStyle w:val="Compact"/>
            </w:pPr>
            <w:r>
              <w:t xml:space="preserve">Annual adjusted EBITDA-margin expansion</w:t>
            </w:r>
          </w:p>
        </w:tc>
        <w:tc>
          <w:tcPr/>
          <w:p>
            <w:pPr>
              <w:pStyle w:val="Compact"/>
              <w:jc w:val="right"/>
            </w:pPr>
            <w:r>
              <w:rPr>
                <w:b/>
                <w:bCs/>
              </w:rPr>
              <w:t xml:space="preserve">50–100 bps</w:t>
            </w:r>
          </w:p>
        </w:tc>
      </w:tr>
    </w:tbl>
    <w:p>
      <w:pPr>
        <w:pStyle w:val="BodyText"/>
      </w:pPr>
      <w:r>
        <w:t xml:space="preserve">An EPS result around $0.71 would put first-half adjusted EPS near $1.41. Fortive would then need approximately</w:t>
      </w:r>
      <w:r>
        <w:t xml:space="preserve"> </w:t>
      </w:r>
      <m:oMath>
        <m:r>
          <m:t>1.49</m:t>
        </m:r>
        <m:r>
          <m:rPr>
            <m:sty m:val="p"/>
          </m:rPr>
          <m:t>–</m:t>
        </m:r>
      </m:oMath>
      <w:r>
        <w:t xml:space="preserve">1.59 in the second half to reach its annual range.</w:t>
      </w:r>
    </w:p>
    <w:p>
      <w:pPr>
        <w:pStyle w:val="BodyText"/>
      </w:pPr>
      <w:r>
        <w:t xml:space="preserve">Management previously said Q3 EPS should also be broadly similar to Q1, while Q4 faces four fewer selling days and a</w:t>
      </w:r>
      <w:r>
        <w:t xml:space="preserve"> </w:t>
      </w:r>
      <m:oMath>
        <m:r>
          <m:t>15</m:t>
        </m:r>
        <m:r>
          <m:rPr>
            <m:sty m:val="p"/>
          </m:rPr>
          <m:t>–</m:t>
        </m:r>
      </m:oMath>
      <w:r>
        <w:rPr>
          <w:b/>
          <w:bCs/>
        </w:rPr>
        <w:t xml:space="preserve">20 million revenue headwind</w:t>
      </w:r>
      <w:r>
        <w:t xml:space="preserve">. Q4 should nevertheless benefit from a lower expected tax rate, a smaller share count and the full effect of tariff countermeasures.</w:t>
      </w:r>
    </w:p>
    <w:bookmarkStart w:id="23" w:name="X95f900d8eff72f96e7459ad83ee55c0daa98e8d"/>
    <w:p>
      <w:pPr>
        <w:pStyle w:val="Heading3"/>
      </w:pPr>
      <w:r>
        <w:t xml:space="preserve">What would constitute a genuine guidance raise?</w:t>
      </w:r>
    </w:p>
    <w:p>
      <w:pPr>
        <w:pStyle w:val="Compact"/>
        <w:numPr>
          <w:ilvl w:val="0"/>
          <w:numId w:val="1008"/>
        </w:numPr>
      </w:pPr>
      <w:r>
        <w:t xml:space="preserve">Lifting adjusted EPS above the current</w:t>
      </w:r>
      <w:r>
        <w:t xml:space="preserve"> </w:t>
      </w:r>
      <w:r>
        <w:rPr>
          <w:b/>
          <w:bCs/>
        </w:rPr>
        <w:t xml:space="preserve">$3.00 ceiling</w:t>
      </w:r>
    </w:p>
    <w:p>
      <w:pPr>
        <w:pStyle w:val="Compact"/>
        <w:numPr>
          <w:ilvl w:val="0"/>
          <w:numId w:val="1008"/>
        </w:numPr>
      </w:pPr>
      <w:r>
        <w:t xml:space="preserve">Moving core-growth guidance above</w:t>
      </w:r>
      <w:r>
        <w:t xml:space="preserve"> </w:t>
      </w:r>
      <w:r>
        <w:rPr>
          <w:b/>
          <w:bCs/>
        </w:rPr>
        <w:t xml:space="preserve">3%</w:t>
      </w:r>
    </w:p>
    <w:p>
      <w:pPr>
        <w:pStyle w:val="Compact"/>
        <w:numPr>
          <w:ilvl w:val="0"/>
          <w:numId w:val="1008"/>
        </w:numPr>
      </w:pPr>
      <w:r>
        <w:t xml:space="preserve">Raising the revenue outlook beyond FX-related changes</w:t>
      </w:r>
    </w:p>
    <w:p>
      <w:pPr>
        <w:pStyle w:val="Compact"/>
        <w:numPr>
          <w:ilvl w:val="0"/>
          <w:numId w:val="1008"/>
        </w:numPr>
      </w:pPr>
      <w:r>
        <w:t xml:space="preserve">Increasing margin expectations despite continued growth investment</w:t>
      </w:r>
    </w:p>
    <w:p>
      <w:pPr>
        <w:pStyle w:val="FirstParagraph"/>
      </w:pPr>
      <w:r>
        <w:t xml:space="preserve">Simply reiterating “the upper half” of the EPS range would be consistent with prior commentary and is unlikely to qualify as a meaningful raise.</w:t>
      </w:r>
    </w:p>
    <w:p>
      <w:r>
        <w:pict>
          <v:rect style="width:0;height:1.5pt" o:hralign="center" o:hrstd="t" o:hr="t"/>
        </w:pict>
      </w:r>
    </w:p>
    <w:bookmarkEnd w:id="23"/>
    <w:bookmarkEnd w:id="24"/>
    <w:bookmarkStart w:id="26" w:name="X6cc963e10469fae8ee47e759fcc93331a30e921"/>
    <w:p>
      <w:pPr>
        <w:pStyle w:val="Heading2"/>
      </w:pPr>
      <w:r>
        <w:t xml:space="preserve">Capital allocation and balance-sheet questions</w:t>
      </w:r>
    </w:p>
    <w:p>
      <w:pPr>
        <w:pStyle w:val="FirstParagraph"/>
      </w:pPr>
      <w:r>
        <w:t xml:space="preserve">Fortive repurchased approximately</w:t>
      </w:r>
      <w:r>
        <w:t xml:space="preserve"> </w:t>
      </w:r>
      <w:r>
        <w:rPr>
          <w:b/>
          <w:bCs/>
        </w:rPr>
        <w:t xml:space="preserve">$500 million</w:t>
      </w:r>
      <w:r>
        <w:t xml:space="preserve"> </w:t>
      </w:r>
      <w:r>
        <w:t xml:space="preserve">of stock in Q1 at an average price of $56.21. Since the Ralliant separation, management has reduced the diluted share count by a little more than 10%, making repurchases a major component of EPS growth.</w:t>
      </w:r>
    </w:p>
    <w:p>
      <w:pPr>
        <w:pStyle w:val="BodyText"/>
      </w:pPr>
      <w:r>
        <w:t xml:space="preserve">The buybacks were partly financed with commercial paper, and gross debt to adjusted EBITDA reached approximately</w:t>
      </w:r>
      <w:r>
        <w:t xml:space="preserve"> </w:t>
      </w:r>
      <w:r>
        <w:rPr>
          <w:b/>
          <w:bCs/>
        </w:rPr>
        <w:t xml:space="preserve">2.8 times</w:t>
      </w:r>
      <w:r>
        <w:t xml:space="preserve"> </w:t>
      </w:r>
      <w:r>
        <w:t xml:space="preserve">at the end of Q1. In May, Fortive issued:</w:t>
      </w:r>
    </w:p>
    <w:p>
      <w:pPr>
        <w:pStyle w:val="Compact"/>
        <w:numPr>
          <w:ilvl w:val="0"/>
          <w:numId w:val="1009"/>
        </w:numPr>
      </w:pPr>
      <w:r>
        <w:t xml:space="preserve">$600 million of 4.75% notes due 2031</w:t>
      </w:r>
    </w:p>
    <w:p>
      <w:pPr>
        <w:pStyle w:val="Compact"/>
        <w:numPr>
          <w:ilvl w:val="0"/>
          <w:numId w:val="1009"/>
        </w:numPr>
      </w:pPr>
      <w:r>
        <w:t xml:space="preserve">$500 million of 5.25% notes due 2036</w:t>
      </w:r>
    </w:p>
    <w:p>
      <w:pPr>
        <w:pStyle w:val="FirstParagraph"/>
      </w:pPr>
      <w:r>
        <w:t xml:space="preserve">The proceeds were primarily intended to refinance $900 million of 3.15% notes due in June and other indebtedness. (</w:t>
      </w:r>
      <w:hyperlink r:id="rId25">
        <w:r>
          <w:rPr>
            <w:rStyle w:val="Hyperlink"/>
          </w:rPr>
          <w:t xml:space="preserve">investors.fortive.com</w:t>
        </w:r>
      </w:hyperlink>
      <w:r>
        <w:t xml:space="preserve">)</w:t>
      </w:r>
    </w:p>
    <w:p>
      <w:pPr>
        <w:pStyle w:val="BodyText"/>
      </w:pPr>
      <w:r>
        <w:t xml:space="preserve">Questions for the call include:</w:t>
      </w:r>
    </w:p>
    <w:p>
      <w:pPr>
        <w:pStyle w:val="Compact"/>
        <w:numPr>
          <w:ilvl w:val="0"/>
          <w:numId w:val="1010"/>
        </w:numPr>
      </w:pPr>
      <w:r>
        <w:t xml:space="preserve">How much stock was repurchased in Q2?</w:t>
      </w:r>
    </w:p>
    <w:p>
      <w:pPr>
        <w:pStyle w:val="Compact"/>
        <w:numPr>
          <w:ilvl w:val="0"/>
          <w:numId w:val="1010"/>
        </w:numPr>
      </w:pPr>
      <w:r>
        <w:t xml:space="preserve">Are repurchases still the best use of capital around $64 versus the Q1 average of $56?</w:t>
      </w:r>
    </w:p>
    <w:p>
      <w:pPr>
        <w:pStyle w:val="Compact"/>
        <w:numPr>
          <w:ilvl w:val="0"/>
          <w:numId w:val="1010"/>
        </w:numPr>
      </w:pPr>
      <w:r>
        <w:t xml:space="preserve">What is pro forma leverage after the debt refinancing?</w:t>
      </w:r>
    </w:p>
    <w:p>
      <w:pPr>
        <w:pStyle w:val="Compact"/>
        <w:numPr>
          <w:ilvl w:val="0"/>
          <w:numId w:val="1010"/>
        </w:numPr>
      </w:pPr>
      <w:r>
        <w:t xml:space="preserve">Does the new debt alter the $135 million interest-expense outlook?</w:t>
      </w:r>
    </w:p>
    <w:p>
      <w:pPr>
        <w:pStyle w:val="Compact"/>
        <w:numPr>
          <w:ilvl w:val="0"/>
          <w:numId w:val="1010"/>
        </w:numPr>
      </w:pPr>
      <w:r>
        <w:t xml:space="preserve">Is bolt-on M&amp;A becoming more competitive with buybacks?</w:t>
      </w:r>
    </w:p>
    <w:p>
      <w:pPr>
        <w:pStyle w:val="Compact"/>
        <w:numPr>
          <w:ilvl w:val="0"/>
          <w:numId w:val="1010"/>
        </w:numPr>
      </w:pPr>
      <w:r>
        <w:t xml:space="preserve">How quickly will free cash flow reduce commercial-paper balances?</w:t>
      </w:r>
    </w:p>
    <w:p>
      <w:pPr>
        <w:pStyle w:val="FirstParagraph"/>
      </w:pPr>
      <w:r>
        <w:t xml:space="preserve">The repurchases have clearly created EPS accretion, but investors should monitor whether Fortive is using leverage to buy shares at increasingly higher valuations.</w:t>
      </w:r>
    </w:p>
    <w:p>
      <w:r>
        <w:pict>
          <v:rect style="width:0;height:1.5pt" o:hralign="center" o:hrstd="t" o:hr="t"/>
        </w:pict>
      </w:r>
    </w:p>
    <w:bookmarkEnd w:id="26"/>
    <w:bookmarkStart w:id="30" w:name="illustrative-reaction-framework"/>
    <w:p>
      <w:pPr>
        <w:pStyle w:val="Heading2"/>
      </w:pPr>
      <w:r>
        <w:t xml:space="preserve">Illustrative reaction framework</w:t>
      </w:r>
    </w:p>
    <w:p>
      <w:pPr>
        <w:pStyle w:val="FirstParagraph"/>
      </w:pPr>
      <w:r>
        <w:t xml:space="preserve">These are not formal forecasts, but a framework for judging the quality of the release:</w:t>
      </w:r>
    </w:p>
    <w:bookmarkStart w:id="27" w:name="bull-case"/>
    <w:p>
      <w:pPr>
        <w:pStyle w:val="Heading3"/>
      </w:pPr>
      <w:r>
        <w:t xml:space="preserve">Bull case</w:t>
      </w:r>
    </w:p>
    <w:p>
      <w:pPr>
        <w:pStyle w:val="Compact"/>
        <w:numPr>
          <w:ilvl w:val="0"/>
          <w:numId w:val="1011"/>
        </w:numPr>
      </w:pPr>
      <w:r>
        <w:t xml:space="preserve">Revenue at or above</w:t>
      </w:r>
      <w:r>
        <w:t xml:space="preserve"> </w:t>
      </w:r>
      <w:r>
        <w:rPr>
          <w:b/>
          <w:bCs/>
        </w:rPr>
        <w:t xml:space="preserve">$1.09B</w:t>
      </w:r>
    </w:p>
    <w:p>
      <w:pPr>
        <w:pStyle w:val="Compact"/>
        <w:numPr>
          <w:ilvl w:val="0"/>
          <w:numId w:val="1011"/>
        </w:numPr>
      </w:pPr>
      <w:r>
        <w:t xml:space="preserve">Core growth of approximately</w:t>
      </w:r>
      <w:r>
        <w:t xml:space="preserve"> </w:t>
      </w:r>
      <w:r>
        <w:rPr>
          <w:b/>
          <w:bCs/>
        </w:rPr>
        <w:t xml:space="preserve">5% or better</w:t>
      </w:r>
    </w:p>
    <w:p>
      <w:pPr>
        <w:pStyle w:val="Compact"/>
        <w:numPr>
          <w:ilvl w:val="0"/>
          <w:numId w:val="1011"/>
        </w:numPr>
      </w:pPr>
      <w:r>
        <w:t xml:space="preserve">Adjusted EPS of</w:t>
      </w:r>
      <w:r>
        <w:t xml:space="preserve"> </w:t>
      </w:r>
      <w:r>
        <w:rPr>
          <w:b/>
          <w:bCs/>
        </w:rPr>
        <w:t xml:space="preserve">$0.73+</w:t>
      </w:r>
    </w:p>
    <w:p>
      <w:pPr>
        <w:pStyle w:val="Compact"/>
        <w:numPr>
          <w:ilvl w:val="0"/>
          <w:numId w:val="1011"/>
        </w:numPr>
      </w:pPr>
      <w:r>
        <w:t xml:space="preserve">Adjusted EBITDA margin around</w:t>
      </w:r>
      <w:r>
        <w:t xml:space="preserve"> </w:t>
      </w:r>
      <w:r>
        <w:rPr>
          <w:b/>
          <w:bCs/>
        </w:rPr>
        <w:t xml:space="preserve">29.5% or better</w:t>
      </w:r>
    </w:p>
    <w:p>
      <w:pPr>
        <w:pStyle w:val="Compact"/>
        <w:numPr>
          <w:ilvl w:val="0"/>
          <w:numId w:val="1011"/>
        </w:numPr>
      </w:pPr>
      <w:r>
        <w:t xml:space="preserve">Fluke orders continue to outgrow revenue</w:t>
      </w:r>
    </w:p>
    <w:p>
      <w:pPr>
        <w:pStyle w:val="Compact"/>
        <w:numPr>
          <w:ilvl w:val="0"/>
          <w:numId w:val="1011"/>
        </w:numPr>
      </w:pPr>
      <w:r>
        <w:t xml:space="preserve">AHS capital equipment improves sequentially</w:t>
      </w:r>
    </w:p>
    <w:p>
      <w:pPr>
        <w:pStyle w:val="Compact"/>
        <w:numPr>
          <w:ilvl w:val="0"/>
          <w:numId w:val="1011"/>
        </w:numPr>
      </w:pPr>
      <w:r>
        <w:t xml:space="preserve">FY EPS ceiling moves above $3.00 or core-growth guidance rises above 3%</w:t>
      </w:r>
    </w:p>
    <w:bookmarkEnd w:id="27"/>
    <w:bookmarkStart w:id="28" w:name="base-case"/>
    <w:p>
      <w:pPr>
        <w:pStyle w:val="Heading3"/>
      </w:pPr>
      <w:r>
        <w:t xml:space="preserve">Base case</w:t>
      </w:r>
    </w:p>
    <w:p>
      <w:pPr>
        <w:pStyle w:val="Compact"/>
        <w:numPr>
          <w:ilvl w:val="0"/>
          <w:numId w:val="1012"/>
        </w:numPr>
      </w:pPr>
      <w:r>
        <w:t xml:space="preserve">Revenue of</w:t>
      </w:r>
      <w:r>
        <w:t xml:space="preserve"> </w:t>
      </w:r>
      <m:oMath>
        <m:r>
          <m:t>1.07</m:t>
        </m:r>
        <m:r>
          <m:rPr>
            <m:sty m:val="p"/>
          </m:rPr>
          <m:t>–</m:t>
        </m:r>
      </m:oMath>
      <w:r>
        <w:rPr>
          <w:b/>
          <w:bCs/>
        </w:rPr>
        <w:t xml:space="preserve">1.09B</w:t>
      </w:r>
    </w:p>
    <w:p>
      <w:pPr>
        <w:pStyle w:val="Compact"/>
        <w:numPr>
          <w:ilvl w:val="0"/>
          <w:numId w:val="1012"/>
        </w:numPr>
      </w:pPr>
      <w:r>
        <w:t xml:space="preserve">Core growth of approximately</w:t>
      </w:r>
      <w:r>
        <w:t xml:space="preserve"> </w:t>
      </w:r>
      <w:r>
        <w:rPr>
          <w:b/>
          <w:bCs/>
        </w:rPr>
        <w:t xml:space="preserve">4%–5%</w:t>
      </w:r>
    </w:p>
    <w:p>
      <w:pPr>
        <w:pStyle w:val="Compact"/>
        <w:numPr>
          <w:ilvl w:val="0"/>
          <w:numId w:val="1012"/>
        </w:numPr>
      </w:pPr>
      <w:r>
        <w:t xml:space="preserve">Adjusted EPS of</w:t>
      </w:r>
      <w:r>
        <w:t xml:space="preserve"> </w:t>
      </w:r>
      <m:oMath>
        <m:r>
          <m:t>0.70</m:t>
        </m:r>
        <m:r>
          <m:rPr>
            <m:sty m:val="p"/>
          </m:rPr>
          <m:t>–</m:t>
        </m:r>
      </m:oMath>
      <w:r>
        <w:rPr>
          <w:b/>
          <w:bCs/>
        </w:rPr>
        <w:t xml:space="preserve">0.72</w:t>
      </w:r>
    </w:p>
    <w:p>
      <w:pPr>
        <w:pStyle w:val="Compact"/>
        <w:numPr>
          <w:ilvl w:val="0"/>
          <w:numId w:val="1012"/>
        </w:numPr>
      </w:pPr>
      <w:r>
        <w:t xml:space="preserve">EBITDA margin near Q1’s 29.3%</w:t>
      </w:r>
    </w:p>
    <w:p>
      <w:pPr>
        <w:pStyle w:val="Compact"/>
        <w:numPr>
          <w:ilvl w:val="0"/>
          <w:numId w:val="1012"/>
        </w:numPr>
      </w:pPr>
      <w:r>
        <w:t xml:space="preserve">Management reiterates that results are tracking toward the upper end or upper half of current guidance</w:t>
      </w:r>
    </w:p>
    <w:p>
      <w:pPr>
        <w:pStyle w:val="FirstParagraph"/>
      </w:pPr>
      <w:r>
        <w:t xml:space="preserve">This would be operationally sound, although the stock reaction could be muted given the recent appreciation.</w:t>
      </w:r>
    </w:p>
    <w:bookmarkEnd w:id="28"/>
    <w:bookmarkStart w:id="29" w:name="bear-case"/>
    <w:p>
      <w:pPr>
        <w:pStyle w:val="Heading3"/>
      </w:pPr>
      <w:r>
        <w:t xml:space="preserve">Bear case</w:t>
      </w:r>
    </w:p>
    <w:p>
      <w:pPr>
        <w:pStyle w:val="Compact"/>
        <w:numPr>
          <w:ilvl w:val="0"/>
          <w:numId w:val="1013"/>
        </w:numPr>
      </w:pPr>
      <w:r>
        <w:t xml:space="preserve">Core growth of</w:t>
      </w:r>
      <w:r>
        <w:t xml:space="preserve"> </w:t>
      </w:r>
      <w:r>
        <w:rPr>
          <w:b/>
          <w:bCs/>
        </w:rPr>
        <w:t xml:space="preserve">3% or less</w:t>
      </w:r>
    </w:p>
    <w:p>
      <w:pPr>
        <w:pStyle w:val="Compact"/>
        <w:numPr>
          <w:ilvl w:val="0"/>
          <w:numId w:val="1013"/>
        </w:numPr>
      </w:pPr>
      <w:r>
        <w:t xml:space="preserve">Adjusted EPS below</w:t>
      </w:r>
      <w:r>
        <w:t xml:space="preserve"> </w:t>
      </w:r>
      <w:r>
        <w:rPr>
          <w:b/>
          <w:bCs/>
        </w:rPr>
        <w:t xml:space="preserve">$0.69</w:t>
      </w:r>
    </w:p>
    <w:p>
      <w:pPr>
        <w:pStyle w:val="Compact"/>
        <w:numPr>
          <w:ilvl w:val="0"/>
          <w:numId w:val="1013"/>
        </w:numPr>
      </w:pPr>
      <w:r>
        <w:t xml:space="preserve">EBITDA margin near or below</w:t>
      </w:r>
      <w:r>
        <w:t xml:space="preserve"> </w:t>
      </w:r>
      <w:r>
        <w:rPr>
          <w:b/>
          <w:bCs/>
        </w:rPr>
        <w:t xml:space="preserve">28.5%</w:t>
      </w:r>
    </w:p>
    <w:p>
      <w:pPr>
        <w:pStyle w:val="Compact"/>
        <w:numPr>
          <w:ilvl w:val="0"/>
          <w:numId w:val="1013"/>
        </w:numPr>
      </w:pPr>
      <w:r>
        <w:t xml:space="preserve">Fluke orders weaken or book-to-bill falls below one</w:t>
      </w:r>
    </w:p>
    <w:p>
      <w:pPr>
        <w:pStyle w:val="Compact"/>
        <w:numPr>
          <w:ilvl w:val="0"/>
          <w:numId w:val="1013"/>
        </w:numPr>
      </w:pPr>
      <w:r>
        <w:t xml:space="preserve">Hospital capital spending shows no sequential recovery</w:t>
      </w:r>
    </w:p>
    <w:p>
      <w:pPr>
        <w:pStyle w:val="Compact"/>
        <w:numPr>
          <w:ilvl w:val="0"/>
          <w:numId w:val="1013"/>
        </w:numPr>
      </w:pPr>
      <w:r>
        <w:t xml:space="preserve">Tariff offsets are delayed</w:t>
      </w:r>
    </w:p>
    <w:p>
      <w:pPr>
        <w:pStyle w:val="Compact"/>
        <w:numPr>
          <w:ilvl w:val="0"/>
          <w:numId w:val="1013"/>
        </w:numPr>
      </w:pPr>
      <w:r>
        <w:t xml:space="preserve">Guidance is merely maintained with more cautious second-half commentary</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t xml:space="preserve">FTV’s setup is</w:t>
      </w:r>
      <w:r>
        <w:t xml:space="preserve"> </w:t>
      </w:r>
      <w:r>
        <w:rPr>
          <w:b/>
          <w:bCs/>
        </w:rPr>
        <w:t xml:space="preserve">constructive but less forgiving than it was in April</w:t>
      </w:r>
      <w:r>
        <w:t xml:space="preserve">. The company has:</w:t>
      </w:r>
    </w:p>
    <w:p>
      <w:pPr>
        <w:pStyle w:val="Compact"/>
        <w:numPr>
          <w:ilvl w:val="0"/>
          <w:numId w:val="1014"/>
        </w:numPr>
      </w:pPr>
      <w:r>
        <w:t xml:space="preserve">Favorable Q2 comparisons</w:t>
      </w:r>
    </w:p>
    <w:p>
      <w:pPr>
        <w:pStyle w:val="Compact"/>
        <w:numPr>
          <w:ilvl w:val="0"/>
          <w:numId w:val="1014"/>
        </w:numPr>
      </w:pPr>
      <w:r>
        <w:t xml:space="preserve">Strong recent orders</w:t>
      </w:r>
    </w:p>
    <w:p>
      <w:pPr>
        <w:pStyle w:val="Compact"/>
        <w:numPr>
          <w:ilvl w:val="0"/>
          <w:numId w:val="1014"/>
        </w:numPr>
      </w:pPr>
      <w:r>
        <w:t xml:space="preserve">Data-center and recurring-revenue growth opportunities</w:t>
      </w:r>
    </w:p>
    <w:p>
      <w:pPr>
        <w:pStyle w:val="Compact"/>
        <w:numPr>
          <w:ilvl w:val="0"/>
          <w:numId w:val="1014"/>
        </w:numPr>
      </w:pPr>
      <w:r>
        <w:t xml:space="preserve">Substantial cost and share-count support</w:t>
      </w:r>
    </w:p>
    <w:p>
      <w:pPr>
        <w:pStyle w:val="Compact"/>
        <w:numPr>
          <w:ilvl w:val="0"/>
          <w:numId w:val="1014"/>
        </w:numPr>
      </w:pPr>
      <w:r>
        <w:t xml:space="preserve">A credible path toward the upper end of 2026 guidance</w:t>
      </w:r>
    </w:p>
    <w:p>
      <w:pPr>
        <w:pStyle w:val="FirstParagraph"/>
      </w:pPr>
      <w:r>
        <w:t xml:space="preserve">But the stock’s rise and roughly 21–22 times guided earnings multiple mean investors are likely to demand evidence that the post-separation Fortive can sustain</w:t>
      </w:r>
      <w:r>
        <w:t xml:space="preserve"> </w:t>
      </w:r>
      <w:r>
        <w:rPr>
          <w:b/>
          <w:bCs/>
        </w:rPr>
        <w:t xml:space="preserve">approximately 4%–5% organic growth with margin expansion</w:t>
      </w:r>
      <w:r>
        <w:t xml:space="preserve">.</w:t>
      </w:r>
    </w:p>
    <w:p>
      <w:pPr>
        <w:pStyle w:val="BodyText"/>
      </w:pPr>
      <w:r>
        <w:t xml:space="preserve">The most important datapoints are therefore, in order:</w:t>
      </w:r>
    </w:p>
    <w:p>
      <w:pPr>
        <w:pStyle w:val="Compact"/>
        <w:numPr>
          <w:ilvl w:val="0"/>
          <w:numId w:val="1015"/>
        </w:numPr>
      </w:pPr>
      <w:r>
        <w:rPr>
          <w:b/>
          <w:bCs/>
        </w:rPr>
        <w:t xml:space="preserve">Core growth excluding FX and selling-day noise</w:t>
      </w:r>
    </w:p>
    <w:p>
      <w:pPr>
        <w:pStyle w:val="Compact"/>
        <w:numPr>
          <w:ilvl w:val="0"/>
          <w:numId w:val="1015"/>
        </w:numPr>
      </w:pPr>
      <w:r>
        <w:rPr>
          <w:b/>
          <w:bCs/>
        </w:rPr>
        <w:t xml:space="preserve">Fluke orders and data-center momentum</w:t>
      </w:r>
    </w:p>
    <w:p>
      <w:pPr>
        <w:pStyle w:val="Compact"/>
        <w:numPr>
          <w:ilvl w:val="0"/>
          <w:numId w:val="1015"/>
        </w:numPr>
      </w:pPr>
      <w:r>
        <w:rPr>
          <w:b/>
          <w:bCs/>
        </w:rPr>
        <w:t xml:space="preserve">AHS capital-equipment recovery</w:t>
      </w:r>
    </w:p>
    <w:p>
      <w:pPr>
        <w:pStyle w:val="Compact"/>
        <w:numPr>
          <w:ilvl w:val="0"/>
          <w:numId w:val="1015"/>
        </w:numPr>
      </w:pPr>
      <w:r>
        <w:rPr>
          <w:b/>
          <w:bCs/>
        </w:rPr>
        <w:t xml:space="preserve">Gross-margin and tariff-countermeasure progress</w:t>
      </w:r>
    </w:p>
    <w:p>
      <w:pPr>
        <w:pStyle w:val="Compact"/>
        <w:numPr>
          <w:ilvl w:val="0"/>
          <w:numId w:val="1015"/>
        </w:numPr>
      </w:pPr>
      <w:r>
        <w:rPr>
          <w:b/>
          <w:bCs/>
        </w:rPr>
        <w:t xml:space="preserve">A real guidance increase—not another “upper-half” reiteration</w:t>
      </w:r>
    </w:p>
    <w:p>
      <w:pPr>
        <w:pStyle w:val="Compact"/>
        <w:numPr>
          <w:ilvl w:val="0"/>
          <w:numId w:val="1015"/>
        </w:numPr>
      </w:pPr>
      <w:r>
        <w:rPr>
          <w:b/>
          <w:bCs/>
        </w:rPr>
        <w:t xml:space="preserve">Buyback intensity versus leverage and valuation</w:t>
      </w:r>
    </w:p>
    <w:p>
      <w:pPr>
        <w:pStyle w:val="FirstParagraph"/>
      </w:pPr>
      <w:r>
        <w:t xml:space="preserve">A modest EPS beat generated by repurchases would be helpful but insufficient. The higher-quality outcome is a quarter showing broad-based volume growth, durable orders and segment-level margin improvement.</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fortive.com/news-events/events?utm_source=openai" TargetMode="External" /><Relationship Type="http://schemas.openxmlformats.org/officeDocument/2006/relationships/hyperlink" Id="rId15" Target="https://investors.fortive.com/news-events/press-releases/detail/271/fortive-reports-second-quarter-2025-results?utm_source=openai" TargetMode="External" /><Relationship Type="http://schemas.openxmlformats.org/officeDocument/2006/relationships/hyperlink" Id="rId12" Target="https://investors.fortive.com/news-events/press-releases/detail/284/fortive-reports-first-quarter-2026-results?utm_source=openai" TargetMode="External" /><Relationship Type="http://schemas.openxmlformats.org/officeDocument/2006/relationships/hyperlink" Id="rId25" Target="https://investors.fortive.com/news-events/press-releases/detail/287/fortive-announces-pricing-of-offering-of-senior-notes?utm_source=openai" TargetMode="External" /><Relationship Type="http://schemas.openxmlformats.org/officeDocument/2006/relationships/hyperlink" Id="rId10" Target="https://www.tipranks.com/stocks/ftv/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fortive.com/news-events/events?utm_source=openai" TargetMode="External" /><Relationship Type="http://schemas.openxmlformats.org/officeDocument/2006/relationships/hyperlink" Id="rId15" Target="https://investors.fortive.com/news-events/press-releases/detail/271/fortive-reports-second-quarter-2025-results?utm_source=openai" TargetMode="External" /><Relationship Type="http://schemas.openxmlformats.org/officeDocument/2006/relationships/hyperlink" Id="rId12" Target="https://investors.fortive.com/news-events/press-releases/detail/284/fortive-reports-first-quarter-2026-results?utm_source=openai" TargetMode="External" /><Relationship Type="http://schemas.openxmlformats.org/officeDocument/2006/relationships/hyperlink" Id="rId25" Target="https://investors.fortive.com/news-events/press-releases/detail/287/fortive-announces-pricing-of-offering-of-senior-notes?utm_source=openai" TargetMode="External" /><Relationship Type="http://schemas.openxmlformats.org/officeDocument/2006/relationships/hyperlink" Id="rId10" Target="https://www.tipranks.com/stocks/ftv/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2026-07-29T01:08:45Z</dcterms:created>
  <dcterms:modified xsi:type="dcterms:W3CDTF">2026-07-29T01:08:45Z</dcterms:modified>
</cp:coreProperties>
</file>

<file path=docProps/custom.xml><?xml version="1.0" encoding="utf-8"?>
<Properties xmlns="http://schemas.openxmlformats.org/officeDocument/2006/custom-properties" xmlns:vt="http://schemas.openxmlformats.org/officeDocument/2006/docPropsVTypes"/>
</file>