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fortive-nyse-ftv--2q26-earnings-preview"/>
    <w:p>
      <w:pPr>
        <w:pStyle w:val="Heading1"/>
      </w:pPr>
      <w:r>
        <w:t xml:space="preserve">Fortive (NYSE: FTV) — 2Q26 Earnings Preview</w:t>
      </w:r>
    </w:p>
    <w:p>
      <w:pPr>
        <w:pStyle w:val="BlockText"/>
      </w:pPr>
      <w:r>
        <w:rPr>
          <w:b/>
          <w:bCs/>
        </w:rPr>
        <w:t xml:space="preserve">Timing note:</w:t>
      </w:r>
      <w:r>
        <w:t xml:space="preserve"> </w:t>
      </w:r>
      <w:r>
        <w:t xml:space="preserve">The stated event date is</w:t>
      </w:r>
      <w:r>
        <w:t xml:space="preserve"> </w:t>
      </w:r>
      <w:r>
        <w:rPr>
          <w:b/>
          <w:bCs/>
        </w:rPr>
        <w:t xml:space="preserve">Wednesday, July 29, 2026</w:t>
      </w:r>
      <w:r>
        <w:t xml:space="preserve">—which is</w:t>
      </w:r>
      <w:r>
        <w:t xml:space="preserve"> </w:t>
      </w:r>
      <w:r>
        <w:rPr>
          <w:b/>
          <w:bCs/>
        </w:rPr>
        <w:t xml:space="preserve">today</w:t>
      </w:r>
      <w:r>
        <w:t xml:space="preserve">, not tomorrow. This preview is therefore framed for the report/call expected on July 29.</w:t>
      </w:r>
    </w:p>
    <w:bookmarkStart w:id="9" w:name="X84b7b60f1094c99844955d910c31ae99ae7c147"/>
    <w:p>
      <w:pPr>
        <w:pStyle w:val="Heading2"/>
      </w:pPr>
      <w:r>
        <w:t xml:space="preserve">Investment view: the quarter is about validating that Q1 momentum was real—not just calendar-driven</w:t>
      </w:r>
    </w:p>
    <w:p>
      <w:pPr>
        <w:pStyle w:val="FirstParagraph"/>
      </w:pPr>
      <w:r>
        <w:t xml:space="preserve">Fortive entered 2026 with a strong first quarter, but investors should focus less on whether it exceeds a narrowly framed quarterly number and more on whether management can demonstrate that the underlying growth, margin, and capital-allocation trajectory is sustaining after a favorable Q1 selling-day benefit.</w:t>
      </w:r>
    </w:p>
    <w:p>
      <w:pPr>
        <w:pStyle w:val="BodyText"/>
      </w:pPr>
      <w:r>
        <w:t xml:space="preserve">In Q1, Fortive delivered</w:t>
      </w:r>
      <w:r>
        <w:t xml:space="preserve"> </w:t>
      </w:r>
      <w:r>
        <w:rPr>
          <w:b/>
          <w:bCs/>
        </w:rPr>
        <w:t xml:space="preserve">5.3% core revenue growth</w:t>
      </w:r>
      <w:r>
        <w:t xml:space="preserve">,</w:t>
      </w:r>
      <w:r>
        <w:t xml:space="preserve"> </w:t>
      </w:r>
      <w:r>
        <w:rPr>
          <w:b/>
          <w:bCs/>
        </w:rPr>
        <w:t xml:space="preserve">13% adjusted EBITDA growth</w:t>
      </w:r>
      <w:r>
        <w:t xml:space="preserve">, and</w:t>
      </w:r>
      <w:r>
        <w:t xml:space="preserve"> </w:t>
      </w:r>
      <w:r>
        <w:rPr>
          <w:b/>
          <w:bCs/>
        </w:rPr>
        <w:t xml:space="preserve">25% adjusted EPS growth</w:t>
      </w:r>
      <w:r>
        <w:t xml:space="preserve">. However, total company growth benefited by roughly</w:t>
      </w:r>
      <w:r>
        <w:t xml:space="preserve"> </w:t>
      </w:r>
      <w:r>
        <w:rPr>
          <w:b/>
          <w:bCs/>
        </w:rPr>
        <w:t xml:space="preserve">150 bps from additional selling days</w:t>
      </w:r>
      <w:r>
        <w:t xml:space="preserve">. The important 2Q test is whether growth remains near the high end of the company’s 2–3% full-year core-growth framework without that calendar assistance—and whether the strongest areas, notably Fluke, facility/asset-lifecycle software, gas detection, and healthcare software/consumables, continue to offset softer discretionary healthcare capital spending.</w:t>
      </w:r>
    </w:p>
    <w:p>
      <w:pPr>
        <w:pStyle w:val="BodyText"/>
      </w:pPr>
      <w:r>
        <w:t xml:space="preserve">Management’s own setup was constructive: it expected</w:t>
      </w:r>
      <w:r>
        <w:t xml:space="preserve"> </w:t>
      </w:r>
      <w:r>
        <w:rPr>
          <w:b/>
          <w:bCs/>
        </w:rPr>
        <w:t xml:space="preserve">Q2 and Q3 adjusted EPS to be broadly similar to Q1’s $0.70</w:t>
      </w:r>
      <w:r>
        <w:t xml:space="preserve">, core growth to trend toward the upper end of the annual range, and Q2 reported revenue to receive roughly a</w:t>
      </w:r>
      <w:r>
        <w:t xml:space="preserve"> </w:t>
      </w:r>
      <w:r>
        <w:rPr>
          <w:b/>
          <w:bCs/>
        </w:rPr>
        <w:t xml:space="preserve">150-bps combined FX and M&amp;A tailwind</w:t>
      </w:r>
      <w:r>
        <w:t xml:space="preserve">.</w:t>
      </w:r>
    </w:p>
    <w:bookmarkEnd w:id="9"/>
    <w:bookmarkStart w:id="15" w:name="what-matters-most"/>
    <w:p>
      <w:pPr>
        <w:pStyle w:val="Heading2"/>
      </w:pPr>
      <w:r>
        <w:t xml:space="preserve">What matters most</w:t>
      </w:r>
    </w:p>
    <w:bookmarkStart w:id="10" w:name="Xd0589707c299901c5a2c01b8ddd78a5e2b4c5f1"/>
    <w:p>
      <w:pPr>
        <w:pStyle w:val="Heading3"/>
      </w:pPr>
      <w:r>
        <w:t xml:space="preserve">1. Organic growth after the Q1 selling-day tailwind</w:t>
      </w:r>
    </w:p>
    <w:p>
      <w:pPr>
        <w:pStyle w:val="FirstParagraph"/>
      </w:pPr>
      <w:r>
        <w:t xml:space="preserve">Q1’s 5.3% core growth was strong, but the quality of that result differed by segment: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1Q26 metric</w:t>
            </w:r>
          </w:p>
        </w:tc>
        <w:tc>
          <w:tcPr/>
          <w:p>
            <w:pPr>
              <w:pStyle w:val="Compact"/>
              <w:jc w:val="right"/>
            </w:pPr>
            <w:r>
              <w:t xml:space="preserve">Intelligent Operating Solutions</w:t>
            </w:r>
          </w:p>
        </w:tc>
        <w:tc>
          <w:tcPr/>
          <w:p>
            <w:pPr>
              <w:pStyle w:val="Compact"/>
              <w:jc w:val="right"/>
            </w:pPr>
            <w:r>
              <w:t xml:space="preserve">Advanced Healthcare Solutions</w:t>
            </w:r>
          </w:p>
        </w:tc>
        <w:tc>
          <w:tcPr/>
          <w:p>
            <w:pPr>
              <w:pStyle w:val="Compact"/>
              <w:jc w:val="right"/>
            </w:pPr>
            <w:r>
              <w:t xml:space="preserve">Total Fortive</w:t>
            </w:r>
          </w:p>
        </w:tc>
      </w:tr>
      <w:tr>
        <w:tc>
          <w:tcPr/>
          <w:p>
            <w:pPr>
              <w:pStyle w:val="Compact"/>
            </w:pPr>
            <w:r>
              <w:t xml:space="preserve">Revenue</w:t>
            </w:r>
          </w:p>
        </w:tc>
        <w:tc>
          <w:tcPr/>
          <w:p>
            <w:pPr>
              <w:pStyle w:val="Compact"/>
              <w:jc w:val="right"/>
            </w:pPr>
            <w:r>
              <w:t xml:space="preserve">$743M</w:t>
            </w:r>
          </w:p>
        </w:tc>
        <w:tc>
          <w:tcPr/>
          <w:p>
            <w:pPr>
              <w:pStyle w:val="Compact"/>
              <w:jc w:val="right"/>
            </w:pPr>
            <w:r>
              <w:t xml:space="preserve">$326M</w:t>
            </w:r>
          </w:p>
        </w:tc>
        <w:tc>
          <w:tcPr/>
          <w:p>
            <w:pPr>
              <w:pStyle w:val="Compact"/>
              <w:jc w:val="right"/>
            </w:pPr>
            <w:r>
              <w:t xml:space="preserve">$1.069B</w:t>
            </w:r>
          </w:p>
        </w:tc>
      </w:tr>
      <w:tr>
        <w:tc>
          <w:tcPr/>
          <w:p>
            <w:pPr>
              <w:pStyle w:val="Compact"/>
            </w:pPr>
            <w:r>
              <w:t xml:space="preserve">Core growth</w:t>
            </w:r>
          </w:p>
        </w:tc>
        <w:tc>
          <w:tcPr/>
          <w:p>
            <w:pPr>
              <w:pStyle w:val="Compact"/>
              <w:jc w:val="right"/>
            </w:pPr>
            <w:r>
              <w:t xml:space="preserve">5.2%</w:t>
            </w:r>
          </w:p>
        </w:tc>
        <w:tc>
          <w:tcPr/>
          <w:p>
            <w:pPr>
              <w:pStyle w:val="Compact"/>
              <w:jc w:val="right"/>
            </w:pPr>
            <w:r>
              <w:t xml:space="preserve">5.8%</w:t>
            </w:r>
          </w:p>
        </w:tc>
        <w:tc>
          <w:tcPr/>
          <w:p>
            <w:pPr>
              <w:pStyle w:val="Compact"/>
              <w:jc w:val="right"/>
            </w:pPr>
            <w:r>
              <w:t xml:space="preserve">5.3%</w:t>
            </w:r>
          </w:p>
        </w:tc>
      </w:tr>
      <w:tr>
        <w:tc>
          <w:tcPr/>
          <w:p>
            <w:pPr>
              <w:pStyle w:val="Compact"/>
            </w:pPr>
            <w:r>
              <w:t xml:space="preserve">Q1 selling-day benefit</w:t>
            </w:r>
          </w:p>
        </w:tc>
        <w:tc>
          <w:tcPr/>
          <w:p>
            <w:pPr>
              <w:pStyle w:val="Compact"/>
              <w:jc w:val="right"/>
            </w:pPr>
            <w:r>
              <w:t xml:space="preserve">~100 bps</w:t>
            </w:r>
          </w:p>
        </w:tc>
        <w:tc>
          <w:tcPr/>
          <w:p>
            <w:pPr>
              <w:pStyle w:val="Compact"/>
              <w:jc w:val="right"/>
            </w:pPr>
            <w:r>
              <w:t xml:space="preserve">~300 bps</w:t>
            </w:r>
          </w:p>
        </w:tc>
        <w:tc>
          <w:tcPr/>
          <w:p>
            <w:pPr>
              <w:pStyle w:val="Compact"/>
              <w:jc w:val="right"/>
            </w:pPr>
            <w:r>
              <w:t xml:space="preserve">~150 bps</w:t>
            </w:r>
          </w:p>
        </w:tc>
      </w:tr>
      <w:tr>
        <w:tc>
          <w:tcPr/>
          <w:p>
            <w:pPr>
              <w:pStyle w:val="Compact"/>
            </w:pPr>
            <w:r>
              <w:t xml:space="preserve">Adjusted EBITDA margin</w:t>
            </w:r>
          </w:p>
        </w:tc>
        <w:tc>
          <w:tcPr/>
          <w:p>
            <w:pPr>
              <w:pStyle w:val="Compact"/>
              <w:jc w:val="right"/>
            </w:pPr>
            <w:r>
              <w:t xml:space="preserve">34.3%</w:t>
            </w:r>
          </w:p>
        </w:tc>
        <w:tc>
          <w:tcPr/>
          <w:p>
            <w:pPr>
              <w:pStyle w:val="Compact"/>
              <w:jc w:val="right"/>
            </w:pPr>
            <w:r>
              <w:t xml:space="preserve">25.7%</w:t>
            </w:r>
          </w:p>
        </w:tc>
        <w:tc>
          <w:tcPr/>
          <w:p>
            <w:pPr>
              <w:pStyle w:val="Compact"/>
              <w:jc w:val="right"/>
            </w:pPr>
            <w:r>
              <w:t xml:space="preserve">29.3%</w:t>
            </w:r>
          </w:p>
        </w:tc>
      </w:tr>
    </w:tbl>
    <w:p>
      <w:pPr>
        <w:pStyle w:val="BodyText"/>
      </w:pPr>
      <w:r>
        <w:rPr>
          <w:b/>
          <w:bCs/>
        </w:rPr>
        <w:t xml:space="preserve">IOS is the more important earnings-driver.</w:t>
      </w:r>
      <w:r>
        <w:t xml:space="preserve"> </w:t>
      </w:r>
      <w:r>
        <w:t xml:space="preserve">It is roughly 70% of revenue and carries a mid-30s adjusted EBITDA margin. Investors will want confirmation that its underlying growth remains healthy, particularly in Fluke, facility and asset lifecycle (“FAL”) software, and Industrial Scientific gas detection.</w:t>
      </w:r>
    </w:p>
    <w:p>
      <w:pPr>
        <w:pStyle w:val="BodyText"/>
      </w:pPr>
      <w:r>
        <w:rPr>
          <w:b/>
          <w:bCs/>
        </w:rPr>
        <w:t xml:space="preserve">AHS has the more difficult comparison in terms of quality of growth.</w:t>
      </w:r>
      <w:r>
        <w:t xml:space="preserve"> </w:t>
      </w:r>
      <w:r>
        <w:t xml:space="preserve">Its Q1 calendar benefit was larger, while hospital capital-equipment purchasing remained cautious. The upside case is that continued strength in sterilization consumables, services, dosimetry, and procedure/documentation software more than offsets modest capital-market pressure.</w:t>
      </w:r>
    </w:p>
    <w:bookmarkEnd w:id="10"/>
    <w:bookmarkStart w:id="11" w:name="Xce4e86070c4be7194fd4ff6845e3aae0e3dedff"/>
    <w:p>
      <w:pPr>
        <w:pStyle w:val="Heading3"/>
      </w:pPr>
      <w:r>
        <w:t xml:space="preserve">2. Fluke and data-center exposure: signs of durable upside rather than a narrative</w:t>
      </w:r>
    </w:p>
    <w:p>
      <w:pPr>
        <w:pStyle w:val="FirstParagraph"/>
      </w:pPr>
      <w:r>
        <w:t xml:space="preserve">Fluke is central to the Fortive growth case. In Q1, management cited:</w:t>
      </w:r>
    </w:p>
    <w:p>
      <w:pPr>
        <w:pStyle w:val="Compact"/>
        <w:numPr>
          <w:ilvl w:val="0"/>
          <w:numId w:val="1001"/>
        </w:numPr>
      </w:pPr>
      <w:r>
        <w:t xml:space="preserve">Orders growing faster than revenue;</w:t>
      </w:r>
    </w:p>
    <w:p>
      <w:pPr>
        <w:pStyle w:val="Compact"/>
        <w:numPr>
          <w:ilvl w:val="0"/>
          <w:numId w:val="1001"/>
        </w:numPr>
      </w:pPr>
      <w:r>
        <w:t xml:space="preserve">Book-to-bill above 1.0;</w:t>
      </w:r>
    </w:p>
    <w:p>
      <w:pPr>
        <w:pStyle w:val="Compact"/>
        <w:numPr>
          <w:ilvl w:val="0"/>
          <w:numId w:val="1001"/>
        </w:numPr>
      </w:pPr>
      <w:r>
        <w:t xml:space="preserve">Healthy backlog;</w:t>
      </w:r>
    </w:p>
    <w:p>
      <w:pPr>
        <w:pStyle w:val="Compact"/>
        <w:numPr>
          <w:ilvl w:val="0"/>
          <w:numId w:val="1001"/>
        </w:numPr>
      </w:pPr>
      <w:r>
        <w:t xml:space="preserve">Normal U.S. channel inventories and improving inventories internationally;</w:t>
      </w:r>
    </w:p>
    <w:p>
      <w:pPr>
        <w:pStyle w:val="Compact"/>
        <w:numPr>
          <w:ilvl w:val="0"/>
          <w:numId w:val="1001"/>
        </w:numPr>
      </w:pPr>
      <w:r>
        <w:t xml:space="preserve">Strong North American demand and improving Europe;</w:t>
      </w:r>
    </w:p>
    <w:p>
      <w:pPr>
        <w:pStyle w:val="Compact"/>
        <w:numPr>
          <w:ilvl w:val="0"/>
          <w:numId w:val="1001"/>
        </w:numPr>
      </w:pPr>
      <w:r>
        <w:t xml:space="preserve">Early traction from the</w:t>
      </w:r>
      <w:r>
        <w:t xml:space="preserve"> </w:t>
      </w:r>
      <w:r>
        <w:rPr>
          <w:b/>
          <w:bCs/>
        </w:rPr>
        <w:t xml:space="preserve">CertiFiber Max</w:t>
      </w:r>
      <w:r>
        <w:t xml:space="preserve"> </w:t>
      </w:r>
      <w:r>
        <w:t xml:space="preserve">data-center testing product.</w:t>
      </w:r>
    </w:p>
    <w:p>
      <w:pPr>
        <w:pStyle w:val="FirstParagraph"/>
      </w:pPr>
      <w:r>
        <w:t xml:space="preserve">The data-center opportunity extends beyond initial construction: Fortive sees Fluke participating in testing, power quality, battery testing, imaging, calibration, fiber testing, and ongoing operations/maintenance. The pivotal question is whether management can offer more concrete evidence of sustained demand, customer specification wins, product pull-through, or incremental growth contribution—not simply reiterate a long-term opportunity.</w:t>
      </w:r>
    </w:p>
    <w:bookmarkEnd w:id="11"/>
    <w:bookmarkStart w:id="12" w:name="X73d76be4592f7445925348165d5319dedef2eaf"/>
    <w:p>
      <w:pPr>
        <w:pStyle w:val="Heading3"/>
      </w:pPr>
      <w:r>
        <w:t xml:space="preserve">3. Software durability and FAL execution</w:t>
      </w:r>
    </w:p>
    <w:p>
      <w:pPr>
        <w:pStyle w:val="FirstParagraph"/>
      </w:pPr>
      <w:r>
        <w:t xml:space="preserve">FAL was a bright spot in Q1, growing faster than IOS even after adjusting for selling days. Management specifically cited continued ServiceChannel strength, particularly in North America, alongside favorable ARR, gross-dollar-retention, and net-dollar-retention indicators.</w:t>
      </w:r>
    </w:p>
    <w:p>
      <w:pPr>
        <w:pStyle w:val="BodyText"/>
      </w:pPr>
      <w:r>
        <w:t xml:space="preserve">That makes software a key qualitative differentiator in the print. Investors should look for:</w:t>
      </w:r>
    </w:p>
    <w:p>
      <w:pPr>
        <w:pStyle w:val="Compact"/>
        <w:numPr>
          <w:ilvl w:val="0"/>
          <w:numId w:val="1002"/>
        </w:numPr>
      </w:pPr>
      <w:r>
        <w:t xml:space="preserve">Further FAL growth acceleration;</w:t>
      </w:r>
    </w:p>
    <w:p>
      <w:pPr>
        <w:pStyle w:val="Compact"/>
        <w:numPr>
          <w:ilvl w:val="0"/>
          <w:numId w:val="1002"/>
        </w:numPr>
      </w:pPr>
      <w:r>
        <w:t xml:space="preserve">Retention and ARR commentary;</w:t>
      </w:r>
    </w:p>
    <w:p>
      <w:pPr>
        <w:pStyle w:val="Compact"/>
        <w:numPr>
          <w:ilvl w:val="0"/>
          <w:numId w:val="1002"/>
        </w:numPr>
      </w:pPr>
      <w:r>
        <w:t xml:space="preserve">Evidence that AI-enabled offerings are producing incremental value or conversion;</w:t>
      </w:r>
    </w:p>
    <w:p>
      <w:pPr>
        <w:pStyle w:val="Compact"/>
        <w:numPr>
          <w:ilvl w:val="0"/>
          <w:numId w:val="1002"/>
        </w:numPr>
      </w:pPr>
      <w:r>
        <w:t xml:space="preserve">Continued strength in healthcare software, including Provation’s GI procedure-documentation platform.</w:t>
      </w:r>
    </w:p>
    <w:p>
      <w:pPr>
        <w:pStyle w:val="FirstParagraph"/>
      </w:pPr>
      <w:r>
        <w:t xml:space="preserve">Fortive’s deferred revenue increased to</w:t>
      </w:r>
      <w:r>
        <w:t xml:space="preserve"> </w:t>
      </w:r>
      <m:oMath>
        <m:r>
          <m:t>472</m:t>
        </m:r>
        <m:r>
          <m:t>m</m:t>
        </m:r>
        <m:r>
          <m:t>i</m:t>
        </m:r>
        <m:r>
          <m:t>l</m:t>
        </m:r>
        <m:r>
          <m:t>l</m:t>
        </m:r>
        <m:r>
          <m:t>i</m:t>
        </m:r>
        <m:r>
          <m:t>o</m:t>
        </m:r>
        <m:r>
          <m:t>n</m:t>
        </m:r>
        <m:r>
          <m:rPr>
            <m:sty m:val="p"/>
          </m:rPr>
          <m:t>*</m:t>
        </m:r>
        <m:r>
          <m:rPr>
            <m:sty m:val="p"/>
          </m:rPr>
          <m:t>*</m:t>
        </m:r>
        <m:r>
          <m:t>a</m:t>
        </m:r>
        <m:r>
          <m:t>t</m:t>
        </m:r>
        <m:r>
          <m:t>t</m:t>
        </m:r>
        <m:r>
          <m:t>h</m:t>
        </m:r>
        <m:r>
          <m:t>e</m:t>
        </m:r>
        <m:r>
          <m:t>e</m:t>
        </m:r>
        <m:r>
          <m:t>n</m:t>
        </m:r>
        <m:r>
          <m:t>d</m:t>
        </m:r>
        <m:r>
          <m:t>o</m:t>
        </m:r>
        <m:r>
          <m:t>f</m:t>
        </m:r>
        <m:r>
          <m:t>Q</m:t>
        </m:r>
        <m:r>
          <m:t>1</m:t>
        </m:r>
        <m:r>
          <m:rPr>
            <m:sty m:val="p"/>
          </m:rPr>
          <m:t>,</m:t>
        </m:r>
        <m:r>
          <m:t>w</m:t>
        </m:r>
        <m:r>
          <m:t>h</m:t>
        </m:r>
        <m:r>
          <m:t>i</m:t>
        </m:r>
        <m:r>
          <m:t>l</m:t>
        </m:r>
        <m:r>
          <m:t>e</m:t>
        </m:r>
        <m:r>
          <m:t>r</m:t>
        </m:r>
        <m:r>
          <m:t>e</m:t>
        </m:r>
        <m:r>
          <m:t>m</m:t>
        </m:r>
        <m:r>
          <m:t>a</m:t>
        </m:r>
        <m:r>
          <m:t>i</m:t>
        </m:r>
        <m:r>
          <m:t>n</m:t>
        </m:r>
        <m:r>
          <m:t>i</m:t>
        </m:r>
        <m:r>
          <m:t>n</m:t>
        </m:r>
        <m:r>
          <m:t>g</m:t>
        </m:r>
        <m:r>
          <m:t>p</m:t>
        </m:r>
        <m:r>
          <m:t>e</m:t>
        </m:r>
        <m:r>
          <m:t>r</m:t>
        </m:r>
        <m:r>
          <m:t>f</m:t>
        </m:r>
        <m:r>
          <m:t>o</m:t>
        </m:r>
        <m:r>
          <m:t>r</m:t>
        </m:r>
        <m:r>
          <m:t>m</m:t>
        </m:r>
        <m:r>
          <m:t>a</m:t>
        </m:r>
        <m:r>
          <m:t>n</m:t>
        </m:r>
        <m:r>
          <m:t>c</m:t>
        </m:r>
        <m:r>
          <m:t>e</m:t>
        </m:r>
        <m:r>
          <m:t>o</m:t>
        </m:r>
        <m:r>
          <m:t>b</m:t>
        </m:r>
        <m:r>
          <m:t>l</m:t>
        </m:r>
        <m:r>
          <m:t>i</m:t>
        </m:r>
        <m:r>
          <m:t>g</m:t>
        </m:r>
        <m:r>
          <m:t>a</m:t>
        </m:r>
        <m:r>
          <m:t>t</m:t>
        </m:r>
        <m:r>
          <m:t>i</m:t>
        </m:r>
        <m:r>
          <m:t>o</m:t>
        </m:r>
        <m:r>
          <m:t>n</m:t>
        </m:r>
        <m:r>
          <m:t>s</m:t>
        </m:r>
        <m:r>
          <m:t>w</m:t>
        </m:r>
        <m:r>
          <m:t>e</m:t>
        </m:r>
        <m:r>
          <m:t>r</m:t>
        </m:r>
        <m:r>
          <m:t>e</m:t>
        </m:r>
        <m:r>
          <m:rPr>
            <m:sty m:val="p"/>
          </m:rPr>
          <m:t>*</m:t>
        </m:r>
        <m:r>
          <m:rPr>
            <m:sty m:val="p"/>
          </m:rPr>
          <m:t>*</m:t>
        </m:r>
      </m:oMath>
      <w:r>
        <w:rPr>
          <w:b/>
          <w:bCs/>
        </w:rPr>
        <w:t xml:space="preserve">840 million</w:t>
      </w:r>
      <w:r>
        <w:t xml:space="preserve">, largely tied to software, service, and support arrangements. These are useful indicators of the company’s increasingly recurring revenue base.</w:t>
      </w:r>
    </w:p>
    <w:bookmarkEnd w:id="12"/>
    <w:bookmarkStart w:id="13" w:name="X98a24ffab864ee372a09282bf96cc4f4be37255"/>
    <w:p>
      <w:pPr>
        <w:pStyle w:val="Heading3"/>
      </w:pPr>
      <w:r>
        <w:t xml:space="preserve">4. AHS: is capital equipment finally improving?</w:t>
      </w:r>
    </w:p>
    <w:p>
      <w:pPr>
        <w:pStyle w:val="FirstParagraph"/>
      </w:pPr>
      <w:r>
        <w:t xml:space="preserve">Management said low-temperature sterilization capital demand improved modestly in Q1, though U.S. hospital spending remained cautious. It also noted that the capital funnel was healthy and that comparisons should ease from Q2 onward, since hospital-budget pressure began to affect results in 2Q25.</w:t>
      </w:r>
    </w:p>
    <w:p>
      <w:pPr>
        <w:pStyle w:val="BodyText"/>
      </w:pPr>
      <w:r>
        <w:t xml:space="preserve">A constructive Q2 outcome would include:</w:t>
      </w:r>
    </w:p>
    <w:p>
      <w:pPr>
        <w:pStyle w:val="Compact"/>
        <w:numPr>
          <w:ilvl w:val="0"/>
          <w:numId w:val="1003"/>
        </w:numPr>
      </w:pPr>
      <w:r>
        <w:t xml:space="preserve">Continued consumables and services resilience;</w:t>
      </w:r>
    </w:p>
    <w:p>
      <w:pPr>
        <w:pStyle w:val="Compact"/>
        <w:numPr>
          <w:ilvl w:val="0"/>
          <w:numId w:val="1003"/>
        </w:numPr>
      </w:pPr>
      <w:r>
        <w:t xml:space="preserve">Further sequential improvement in sterilization-capital orders or backlog;</w:t>
      </w:r>
    </w:p>
    <w:p>
      <w:pPr>
        <w:pStyle w:val="Compact"/>
        <w:numPr>
          <w:ilvl w:val="0"/>
          <w:numId w:val="1003"/>
        </w:numPr>
      </w:pPr>
      <w:r>
        <w:t xml:space="preserve">Better demand in China and India from locally manufactured products;</w:t>
      </w:r>
    </w:p>
    <w:p>
      <w:pPr>
        <w:pStyle w:val="Compact"/>
        <w:numPr>
          <w:ilvl w:val="0"/>
          <w:numId w:val="1003"/>
        </w:numPr>
      </w:pPr>
      <w:r>
        <w:t xml:space="preserve">Ongoing software growth.</w:t>
      </w:r>
    </w:p>
    <w:p>
      <w:pPr>
        <w:pStyle w:val="FirstParagraph"/>
      </w:pPr>
      <w:r>
        <w:t xml:space="preserve">A disappointing outcome would be a reacceleration of hospital-capex pressure, which could call into question the second-half growth setup.</w:t>
      </w:r>
    </w:p>
    <w:bookmarkEnd w:id="13"/>
    <w:bookmarkStart w:id="14" w:name="Xa29c3f1fb639418e43a3137091ee735e5743a35"/>
    <w:p>
      <w:pPr>
        <w:pStyle w:val="Heading3"/>
      </w:pPr>
      <w:r>
        <w:t xml:space="preserve">5. Margins: tariffs remain a gross-margin headwind, but bottom-line protection is the goal</w:t>
      </w:r>
    </w:p>
    <w:p>
      <w:pPr>
        <w:pStyle w:val="FirstParagraph"/>
      </w:pPr>
      <w:r>
        <w:t xml:space="preserve">Fortive’s Q1 adjusted gross margin declined about</w:t>
      </w:r>
      <w:r>
        <w:t xml:space="preserve"> </w:t>
      </w:r>
      <w:r>
        <w:rPr>
          <w:b/>
          <w:bCs/>
        </w:rPr>
        <w:t xml:space="preserve">100 bps</w:t>
      </w:r>
      <w:r>
        <w:t xml:space="preserve"> </w:t>
      </w:r>
      <w:r>
        <w:t xml:space="preserve">year over year to just above 63%, primarily due to tariffs. IOS adjusted gross margin declined roughly</w:t>
      </w:r>
      <w:r>
        <w:t xml:space="preserve"> </w:t>
      </w:r>
      <w:r>
        <w:rPr>
          <w:b/>
          <w:bCs/>
        </w:rPr>
        <w:t xml:space="preserve">150 bps</w:t>
      </w:r>
      <w:r>
        <w:t xml:space="preserve">, with tariffs and mix both weighing on the result.</w:t>
      </w:r>
    </w:p>
    <w:p>
      <w:pPr>
        <w:pStyle w:val="BodyText"/>
      </w:pPr>
      <w:r>
        <w:t xml:space="preserve">The company’s message has been that tariffs are</w:t>
      </w:r>
      <w:r>
        <w:t xml:space="preserve"> </w:t>
      </w:r>
      <w:r>
        <w:rPr>
          <w:b/>
          <w:bCs/>
        </w:rPr>
        <w:t xml:space="preserve">fully countermeasured at the bottom line</w:t>
      </w:r>
      <w:r>
        <w:t xml:space="preserve"> </w:t>
      </w:r>
      <w:r>
        <w:t xml:space="preserve">through pricing, productivity, sourcing, and other actions—though the gross-margin pressure should persist into part of Q3 before fading as the company laps countermeasures.</w:t>
      </w:r>
    </w:p>
    <w:p>
      <w:pPr>
        <w:pStyle w:val="BodyText"/>
      </w:pPr>
      <w:r>
        <w:t xml:space="preserve">For Q2, investors should focus on the relationship between:</w:t>
      </w:r>
    </w:p>
    <w:p>
      <w:pPr>
        <w:pStyle w:val="Compact"/>
        <w:numPr>
          <w:ilvl w:val="0"/>
          <w:numId w:val="1004"/>
        </w:numPr>
      </w:pPr>
      <w:r>
        <w:t xml:space="preserve">Price/cost performance;</w:t>
      </w:r>
    </w:p>
    <w:p>
      <w:pPr>
        <w:pStyle w:val="Compact"/>
        <w:numPr>
          <w:ilvl w:val="0"/>
          <w:numId w:val="1004"/>
        </w:numPr>
      </w:pPr>
      <w:r>
        <w:t xml:space="preserve">Gross-margin trajectory;</w:t>
      </w:r>
    </w:p>
    <w:p>
      <w:pPr>
        <w:pStyle w:val="Compact"/>
        <w:numPr>
          <w:ilvl w:val="0"/>
          <w:numId w:val="1004"/>
        </w:numPr>
      </w:pPr>
      <w:r>
        <w:t xml:space="preserve">Incremental commercial and innovation investment; and</w:t>
      </w:r>
    </w:p>
    <w:p>
      <w:pPr>
        <w:pStyle w:val="Compact"/>
        <w:numPr>
          <w:ilvl w:val="0"/>
          <w:numId w:val="1004"/>
        </w:numPr>
      </w:pPr>
      <w:r>
        <w:t xml:space="preserve">Adjusted EBITDA-margin progression.</w:t>
      </w:r>
    </w:p>
    <w:p>
      <w:pPr>
        <w:pStyle w:val="FirstParagraph"/>
      </w:pPr>
      <w:r>
        <w:t xml:space="preserve">Management’s medium-term framework calls for</w:t>
      </w:r>
      <w:r>
        <w:t xml:space="preserve"> </w:t>
      </w:r>
      <w:r>
        <w:rPr>
          <w:b/>
          <w:bCs/>
        </w:rPr>
        <w:t xml:space="preserve">50–100 bps of annual adjusted EBITDA-margin expansion</w:t>
      </w:r>
      <w:r>
        <w:t xml:space="preserve">. Q1’s 140-bps expansion was aided by growth, cost actions, FX, and calendar dynamics; maintaining a credible margin path as comparisons and selling days become less favorable is more important than matching that first-quarter pace.</w:t>
      </w:r>
    </w:p>
    <w:bookmarkEnd w:id="14"/>
    <w:bookmarkEnd w:id="15"/>
    <w:bookmarkStart w:id="17" w:name="guidance-and-earnings-setup"/>
    <w:p>
      <w:pPr>
        <w:pStyle w:val="Heading2"/>
      </w:pPr>
      <w:r>
        <w:t xml:space="preserve">Guidance and earnings setup</w:t>
      </w:r>
    </w:p>
    <w:p>
      <w:pPr>
        <w:pStyle w:val="FirstParagraph"/>
      </w:pPr>
      <w:r>
        <w:t xml:space="preserve">Fortive reaffirmed full-year 2026 adjusted EPS guidance of</w:t>
      </w:r>
      <w:r>
        <w:t xml:space="preserve"> </w:t>
      </w:r>
      <m:oMath>
        <m:r>
          <m:t>2.90</m:t>
        </m:r>
        <m:r>
          <m:rPr>
            <m:sty m:val="p"/>
          </m:rPr>
          <m:t>–</m:t>
        </m:r>
      </m:oMath>
      <w:r>
        <w:rPr>
          <w:b/>
          <w:bCs/>
        </w:rPr>
        <w:t xml:space="preserve">3.00</w:t>
      </w:r>
      <w:r>
        <w:t xml:space="preserve"> </w:t>
      </w:r>
      <w:r>
        <w:t xml:space="preserve">in April and said results were trending toward the upper half of that range. It also guided to:</w:t>
      </w:r>
    </w:p>
    <w:p>
      <w:pPr>
        <w:pStyle w:val="Compact"/>
        <w:numPr>
          <w:ilvl w:val="0"/>
          <w:numId w:val="1005"/>
        </w:numPr>
      </w:pPr>
      <w:r>
        <w:t xml:space="preserve">About</w:t>
      </w:r>
      <w:r>
        <w:t xml:space="preserve"> </w:t>
      </w:r>
      <w:r>
        <w:rPr>
          <w:b/>
          <w:bCs/>
        </w:rPr>
        <w:t xml:space="preserve">$4.3 billion</w:t>
      </w:r>
      <w:r>
        <w:t xml:space="preserve"> </w:t>
      </w:r>
      <w:r>
        <w:t xml:space="preserve">in full-year reported revenue, based on then-current FX rates;</w:t>
      </w:r>
    </w:p>
    <w:p>
      <w:pPr>
        <w:pStyle w:val="Compact"/>
        <w:numPr>
          <w:ilvl w:val="0"/>
          <w:numId w:val="1005"/>
        </w:numPr>
      </w:pPr>
      <w:r>
        <w:rPr>
          <w:b/>
          <w:bCs/>
        </w:rPr>
        <w:t xml:space="preserve">2–3%</w:t>
      </w:r>
      <w:r>
        <w:t xml:space="preserve"> </w:t>
      </w:r>
      <w:r>
        <w:t xml:space="preserve">full-year core revenue growth, trending toward the upper end;</w:t>
      </w:r>
    </w:p>
    <w:p>
      <w:pPr>
        <w:pStyle w:val="Compact"/>
        <w:numPr>
          <w:ilvl w:val="0"/>
          <w:numId w:val="1005"/>
        </w:numPr>
      </w:pPr>
      <w:r>
        <w:t xml:space="preserve">Q2 combined FX and M&amp;A contribution of about</w:t>
      </w:r>
      <w:r>
        <w:t xml:space="preserve"> </w:t>
      </w:r>
      <w:r>
        <w:rPr>
          <w:b/>
          <w:bCs/>
        </w:rPr>
        <w:t xml:space="preserve">+150 bps</w:t>
      </w:r>
      <w:r>
        <w:t xml:space="preserve"> </w:t>
      </w:r>
      <w:r>
        <w:t xml:space="preserve">to reported revenue;</w:t>
      </w:r>
    </w:p>
    <w:p>
      <w:pPr>
        <w:pStyle w:val="Compact"/>
        <w:numPr>
          <w:ilvl w:val="0"/>
          <w:numId w:val="1005"/>
        </w:numPr>
      </w:pPr>
      <w:r>
        <w:t xml:space="preserve">Q2 adjusted EPS broadly similar to Q1’s</w:t>
      </w:r>
      <w:r>
        <w:t xml:space="preserve"> </w:t>
      </w:r>
      <w:r>
        <w:rPr>
          <w:b/>
          <w:bCs/>
        </w:rPr>
        <w:t xml:space="preserve">$0.70</w:t>
      </w:r>
      <w:r>
        <w:t xml:space="preserve">;</w:t>
      </w:r>
    </w:p>
    <w:p>
      <w:pPr>
        <w:pStyle w:val="Compact"/>
        <w:numPr>
          <w:ilvl w:val="0"/>
          <w:numId w:val="1005"/>
        </w:numPr>
      </w:pPr>
      <w:r>
        <w:t xml:space="preserve">A Q2 effective tax rate in the</w:t>
      </w:r>
      <w:r>
        <w:t xml:space="preserve"> </w:t>
      </w:r>
      <w:r>
        <w:rPr>
          <w:b/>
          <w:bCs/>
        </w:rPr>
        <w:t xml:space="preserve">mid-teens</w:t>
      </w:r>
      <w:r>
        <w:t xml:space="preserve">;</w:t>
      </w:r>
    </w:p>
    <w:p>
      <w:pPr>
        <w:pStyle w:val="Compact"/>
        <w:numPr>
          <w:ilvl w:val="0"/>
          <w:numId w:val="1005"/>
        </w:numPr>
      </w:pPr>
      <w:r>
        <w:t xml:space="preserve">Just over</w:t>
      </w:r>
      <w:r>
        <w:t xml:space="preserve"> </w:t>
      </w:r>
      <w:r>
        <w:rPr>
          <w:b/>
          <w:bCs/>
        </w:rPr>
        <w:t xml:space="preserve">$135 million</w:t>
      </w:r>
      <w:r>
        <w:t xml:space="preserve"> </w:t>
      </w:r>
      <w:r>
        <w:t xml:space="preserve">of full-year net interest expense.</w:t>
      </w:r>
    </w:p>
    <w:p>
      <w:pPr>
        <w:pStyle w:val="FirstParagraph"/>
      </w:pPr>
      <w:r>
        <w:t xml:space="preserve">The practical read-through: a quarterly beat without an upward shift in the full-year outlook may receive a muted reaction, particularly after the stock rallied into the report. FTV closed at</w:t>
      </w:r>
      <w:r>
        <w:t xml:space="preserve"> </w:t>
      </w:r>
      <w:r>
        <w:rPr>
          <w:b/>
          <w:bCs/>
        </w:rPr>
        <w:t xml:space="preserve">$64.11 on July 28</w:t>
      </w:r>
      <w:r>
        <w:t xml:space="preserve">, up about 7% from its April 30 close after Q1 results.</w:t>
      </w:r>
    </w:p>
    <w:bookmarkStart w:id="16" w:name="what-could-support-a-guidance-increase"/>
    <w:p>
      <w:pPr>
        <w:pStyle w:val="Heading3"/>
      </w:pPr>
      <w:r>
        <w:t xml:space="preserve">What could support a guidance increase?</w:t>
      </w:r>
    </w:p>
    <w:p>
      <w:pPr>
        <w:pStyle w:val="FirstParagraph"/>
      </w:pPr>
      <w:r>
        <w:t xml:space="preserve">A move toward the high end—or above it—would likely require some combination of:</w:t>
      </w:r>
    </w:p>
    <w:p>
      <w:pPr>
        <w:pStyle w:val="Compact"/>
        <w:numPr>
          <w:ilvl w:val="0"/>
          <w:numId w:val="1006"/>
        </w:numPr>
      </w:pPr>
      <w:r>
        <w:t xml:space="preserve">IOS core growth holding above the annual framework;</w:t>
      </w:r>
    </w:p>
    <w:p>
      <w:pPr>
        <w:pStyle w:val="Compact"/>
        <w:numPr>
          <w:ilvl w:val="0"/>
          <w:numId w:val="1006"/>
        </w:numPr>
      </w:pPr>
      <w:r>
        <w:t xml:space="preserve">Better-than-expected Fluke/data-center and FAL demand;</w:t>
      </w:r>
    </w:p>
    <w:p>
      <w:pPr>
        <w:pStyle w:val="Compact"/>
        <w:numPr>
          <w:ilvl w:val="0"/>
          <w:numId w:val="1006"/>
        </w:numPr>
      </w:pPr>
      <w:r>
        <w:t xml:space="preserve">A more decisive AHS capital-equipment recovery;</w:t>
      </w:r>
    </w:p>
    <w:p>
      <w:pPr>
        <w:pStyle w:val="Compact"/>
        <w:numPr>
          <w:ilvl w:val="0"/>
          <w:numId w:val="1006"/>
        </w:numPr>
      </w:pPr>
      <w:r>
        <w:t xml:space="preserve">Continued price/cost execution and margin resilience; and</w:t>
      </w:r>
    </w:p>
    <w:p>
      <w:pPr>
        <w:pStyle w:val="Compact"/>
        <w:numPr>
          <w:ilvl w:val="0"/>
          <w:numId w:val="1006"/>
        </w:numPr>
      </w:pPr>
      <w:r>
        <w:t xml:space="preserve">Confidence that the Q4 four-selling-day headwind, estimated at</w:t>
      </w:r>
      <w:r>
        <w:t xml:space="preserve"> </w:t>
      </w:r>
      <w:r>
        <w:rPr>
          <w:b/>
          <w:bCs/>
        </w:rPr>
        <w:t xml:space="preserve">$15–20 million of revenue</w:t>
      </w:r>
      <w:r>
        <w:t xml:space="preserve">, is manageable.</w:t>
      </w:r>
    </w:p>
    <w:bookmarkEnd w:id="16"/>
    <w:bookmarkEnd w:id="17"/>
    <w:bookmarkStart w:id="18" w:name="X9ac3263869882ca66f31ecf4dffa9f78f1747df"/>
    <w:p>
      <w:pPr>
        <w:pStyle w:val="Heading2"/>
      </w:pPr>
      <w:r>
        <w:t xml:space="preserve">Capital allocation and balance sheet: buybacks are meaningful, but funding and leverage bear watching</w:t>
      </w:r>
    </w:p>
    <w:p>
      <w:pPr>
        <w:pStyle w:val="FirstParagraph"/>
      </w:pPr>
      <w:r>
        <w:t xml:space="preserve">Capital allocation is a major component of the New Fortive equity case. The company repurchased approximately</w:t>
      </w:r>
      <w:r>
        <w:t xml:space="preserve"> </w:t>
      </w:r>
      <m:oMath>
        <m:r>
          <m:t>500</m:t>
        </m:r>
        <m:r>
          <m:t>m</m:t>
        </m:r>
        <m:r>
          <m:t>i</m:t>
        </m:r>
        <m:r>
          <m:t>l</m:t>
        </m:r>
        <m:r>
          <m:t>l</m:t>
        </m:r>
        <m:r>
          <m:t>i</m:t>
        </m:r>
        <m:r>
          <m:t>o</m:t>
        </m:r>
        <m:r>
          <m:t>n</m:t>
        </m:r>
        <m:r>
          <m:rPr>
            <m:sty m:val="p"/>
          </m:rPr>
          <m:t>*</m:t>
        </m:r>
        <m:r>
          <m:rPr>
            <m:sty m:val="p"/>
          </m:rPr>
          <m:t>*</m:t>
        </m:r>
        <m:r>
          <m:t>o</m:t>
        </m:r>
        <m:r>
          <m:t>f</m:t>
        </m:r>
        <m:r>
          <m:t>s</m:t>
        </m:r>
        <m:r>
          <m:t>h</m:t>
        </m:r>
        <m:r>
          <m:t>a</m:t>
        </m:r>
        <m:r>
          <m:t>r</m:t>
        </m:r>
        <m:r>
          <m:t>e</m:t>
        </m:r>
        <m:r>
          <m:t>s</m:t>
        </m:r>
        <m:r>
          <m:t>i</m:t>
        </m:r>
        <m:r>
          <m:t>n</m:t>
        </m:r>
        <m:r>
          <m:t>Q</m:t>
        </m:r>
        <m:r>
          <m:t>1</m:t>
        </m:r>
        <m:r>
          <m:rPr>
            <m:sty m:val="p"/>
          </m:rPr>
          <m:t>—</m:t>
        </m:r>
        <m:r>
          <m:t>a</m:t>
        </m:r>
        <m:r>
          <m:t>b</m:t>
        </m:r>
        <m:r>
          <m:t>o</m:t>
        </m:r>
        <m:r>
          <m:t>u</m:t>
        </m:r>
        <m:r>
          <m:t>t</m:t>
        </m:r>
        <m:r>
          <m:rPr>
            <m:sty m:val="p"/>
          </m:rPr>
          <m:t>*</m:t>
        </m:r>
        <m:r>
          <m:rPr>
            <m:sty m:val="p"/>
          </m:rPr>
          <m:t>*</m:t>
        </m:r>
        <m:r>
          <m:t>8.9</m:t>
        </m:r>
        <m:r>
          <m:t>m</m:t>
        </m:r>
        <m:r>
          <m:t>i</m:t>
        </m:r>
        <m:r>
          <m:t>l</m:t>
        </m:r>
        <m:r>
          <m:t>l</m:t>
        </m:r>
        <m:r>
          <m:t>i</m:t>
        </m:r>
        <m:r>
          <m:t>o</m:t>
        </m:r>
        <m:r>
          <m:t>n</m:t>
        </m:r>
        <m:r>
          <m:t>s</m:t>
        </m:r>
        <m:r>
          <m:t>h</m:t>
        </m:r>
        <m:r>
          <m:t>a</m:t>
        </m:r>
        <m:r>
          <m:t>r</m:t>
        </m:r>
        <m:r>
          <m:t>e</m:t>
        </m:r>
        <m:r>
          <m:t>s</m:t>
        </m:r>
        <m:r>
          <m:rPr>
            <m:sty m:val="p"/>
          </m:rPr>
          <m:t>*</m:t>
        </m:r>
        <m:r>
          <m:rPr>
            <m:sty m:val="p"/>
          </m:rPr>
          <m:t>*</m:t>
        </m:r>
        <m:r>
          <m:rPr>
            <m:sty m:val="p"/>
          </m:rPr>
          <m:t>—</m:t>
        </m:r>
        <m:r>
          <m:t>a</m:t>
        </m:r>
        <m:r>
          <m:t>n</m:t>
        </m:r>
        <m:r>
          <m:t>d</m:t>
        </m:r>
        <m:r>
          <m:t>h</m:t>
        </m:r>
        <m:r>
          <m:t>a</m:t>
        </m:r>
        <m:r>
          <m:t>d</m:t>
        </m:r>
        <m:r>
          <m:t>r</m:t>
        </m:r>
        <m:r>
          <m:t>e</m:t>
        </m:r>
        <m:r>
          <m:t>p</m:t>
        </m:r>
        <m:r>
          <m:t>u</m:t>
        </m:r>
        <m:r>
          <m:t>r</m:t>
        </m:r>
        <m:r>
          <m:t>c</m:t>
        </m:r>
        <m:r>
          <m:t>h</m:t>
        </m:r>
        <m:r>
          <m:t>a</m:t>
        </m:r>
        <m:r>
          <m:t>s</m:t>
        </m:r>
        <m:r>
          <m:t>e</m:t>
        </m:r>
        <m:r>
          <m:t>d</m:t>
        </m:r>
        <m:r>
          <m:t>r</m:t>
        </m:r>
        <m:r>
          <m:t>o</m:t>
        </m:r>
        <m:r>
          <m:t>u</m:t>
        </m:r>
        <m:r>
          <m:t>g</m:t>
        </m:r>
        <m:r>
          <m:t>h</m:t>
        </m:r>
        <m:r>
          <m:t>l</m:t>
        </m:r>
        <m:r>
          <m:t>y</m:t>
        </m:r>
        <m:r>
          <m:rPr>
            <m:sty m:val="p"/>
          </m:rPr>
          <m:t>*</m:t>
        </m:r>
        <m:r>
          <m:rPr>
            <m:sty m:val="p"/>
          </m:rPr>
          <m:t>*</m:t>
        </m:r>
      </m:oMath>
      <w:r>
        <w:rPr>
          <w:b/>
          <w:bCs/>
        </w:rPr>
        <w:t xml:space="preserve">1.8 billion</w:t>
      </w:r>
      <w:r>
        <w:t xml:space="preserve">, or just over 10% of diluted shares, since the Ralliant separation in June 2025.</w:t>
      </w:r>
    </w:p>
    <w:p>
      <w:pPr>
        <w:pStyle w:val="BodyText"/>
      </w:pPr>
      <w:r>
        <w:t xml:space="preserve">That buyback activity has materially supported adjusted EPS growth. At the same time, it has been funded partly with commercial paper: Fortive ended Q1 with</w:t>
      </w:r>
      <w:r>
        <w:t xml:space="preserve"> </w:t>
      </w:r>
      <m:oMath>
        <m:r>
          <m:t>1.24</m:t>
        </m:r>
        <m:r>
          <m:t>b</m:t>
        </m:r>
        <m:r>
          <m:t>i</m:t>
        </m:r>
        <m:r>
          <m:t>l</m:t>
        </m:r>
        <m:r>
          <m:t>l</m:t>
        </m:r>
        <m:r>
          <m:t>i</m:t>
        </m:r>
        <m:r>
          <m:t>o</m:t>
        </m:r>
        <m:r>
          <m:t>n</m:t>
        </m:r>
        <m:r>
          <m:rPr>
            <m:sty m:val="p"/>
          </m:rPr>
          <m:t>*</m:t>
        </m:r>
        <m:r>
          <m:rPr>
            <m:sty m:val="p"/>
          </m:rPr>
          <m:t>*</m:t>
        </m:r>
        <m:r>
          <m:t>o</m:t>
        </m:r>
        <m:r>
          <m:t>f</m:t>
        </m:r>
        <m:r>
          <m:t>c</m:t>
        </m:r>
        <m:r>
          <m:t>o</m:t>
        </m:r>
        <m:r>
          <m:t>m</m:t>
        </m:r>
        <m:r>
          <m:t>m</m:t>
        </m:r>
        <m:r>
          <m:t>e</m:t>
        </m:r>
        <m:r>
          <m:t>r</m:t>
        </m:r>
        <m:r>
          <m:t>c</m:t>
        </m:r>
        <m:r>
          <m:t>i</m:t>
        </m:r>
        <m:r>
          <m:t>a</m:t>
        </m:r>
        <m:r>
          <m:t>l</m:t>
        </m:r>
        <m:r>
          <m:t>p</m:t>
        </m:r>
        <m:r>
          <m:t>a</m:t>
        </m:r>
        <m:r>
          <m:t>p</m:t>
        </m:r>
        <m:r>
          <m:t>e</m:t>
        </m:r>
        <m:r>
          <m:t>r</m:t>
        </m:r>
        <m:r>
          <m:t>o</m:t>
        </m:r>
        <m:r>
          <m:t>u</m:t>
        </m:r>
        <m:r>
          <m:t>t</m:t>
        </m:r>
        <m:r>
          <m:t>s</m:t>
        </m:r>
        <m:r>
          <m:t>t</m:t>
        </m:r>
        <m:r>
          <m:t>a</m:t>
        </m:r>
        <m:r>
          <m:t>n</m:t>
        </m:r>
        <m:r>
          <m:t>d</m:t>
        </m:r>
        <m:r>
          <m:t>i</m:t>
        </m:r>
        <m:r>
          <m:t>n</m:t>
        </m:r>
        <m:r>
          <m:t>g</m:t>
        </m:r>
        <m:r>
          <m:t>a</m:t>
        </m:r>
        <m:r>
          <m:t>n</m:t>
        </m:r>
        <m:r>
          <m:t>d</m:t>
        </m:r>
        <m:r>
          <m:t>r</m:t>
        </m:r>
        <m:r>
          <m:t>e</m:t>
        </m:r>
        <m:r>
          <m:t>p</m:t>
        </m:r>
        <m:r>
          <m:t>o</m:t>
        </m:r>
        <m:r>
          <m:t>r</m:t>
        </m:r>
        <m:r>
          <m:t>t</m:t>
        </m:r>
        <m:r>
          <m:t>e</m:t>
        </m:r>
        <m:r>
          <m:t>d</m:t>
        </m:r>
        <m:r>
          <m:t>g</m:t>
        </m:r>
        <m:r>
          <m:t>r</m:t>
        </m:r>
        <m:r>
          <m:t>o</m:t>
        </m:r>
        <m:r>
          <m:t>s</m:t>
        </m:r>
        <m:r>
          <m:t>s</m:t>
        </m:r>
        <m:r>
          <m:t>d</m:t>
        </m:r>
        <m:r>
          <m:t>e</m:t>
        </m:r>
        <m:r>
          <m:t>b</m:t>
        </m:r>
        <m:r>
          <m:t>t</m:t>
        </m:r>
        <m:r>
          <m:rPr>
            <m:sty m:val="p"/>
          </m:rPr>
          <m:t>/</m:t>
        </m:r>
        <m:r>
          <m:t>a</m:t>
        </m:r>
        <m:r>
          <m:t>d</m:t>
        </m:r>
        <m:r>
          <m:t>j</m:t>
        </m:r>
        <m:r>
          <m:t>u</m:t>
        </m:r>
        <m:r>
          <m:t>s</m:t>
        </m:r>
        <m:r>
          <m:t>t</m:t>
        </m:r>
        <m:r>
          <m:t>e</m:t>
        </m:r>
        <m:r>
          <m:t>d</m:t>
        </m:r>
        <m:r>
          <m:t>E</m:t>
        </m:r>
        <m:r>
          <m:t>B</m:t>
        </m:r>
        <m:r>
          <m:t>I</m:t>
        </m:r>
        <m:r>
          <m:t>T</m:t>
        </m:r>
        <m:r>
          <m:t>D</m:t>
        </m:r>
        <m:r>
          <m:t>A</m:t>
        </m:r>
        <m:r>
          <m:t>o</m:t>
        </m:r>
        <m:r>
          <m:t>f</m:t>
        </m:r>
        <m:r>
          <m:rPr>
            <m:sty m:val="p"/>
          </m:rPr>
          <m:t>*</m:t>
        </m:r>
        <m:r>
          <m:rPr>
            <m:sty m:val="p"/>
          </m:rPr>
          <m:t>*</m:t>
        </m:r>
        <m:r>
          <m:t>2.8</m:t>
        </m:r>
        <m:r>
          <m:t>x</m:t>
        </m:r>
        <m:r>
          <m:rPr>
            <m:sty m:val="p"/>
          </m:rPr>
          <m:t>*</m:t>
        </m:r>
        <m:r>
          <m:rPr>
            <m:sty m:val="p"/>
          </m:rPr>
          <m:t>*</m:t>
        </m:r>
        <m:r>
          <m:rPr>
            <m:sty m:val="p"/>
          </m:rPr>
          <m:t>.</m:t>
        </m:r>
        <m:r>
          <m:t>I</m:t>
        </m:r>
        <m:r>
          <m:t>n</m:t>
        </m:r>
        <m:r>
          <m:t>M</m:t>
        </m:r>
        <m:r>
          <m:t>a</m:t>
        </m:r>
        <m:r>
          <m:t>y</m:t>
        </m:r>
        <m:r>
          <m:rPr>
            <m:sty m:val="p"/>
          </m:rPr>
          <m:t>,</m:t>
        </m:r>
        <m:r>
          <m:t>t</m:t>
        </m:r>
        <m:r>
          <m:t>h</m:t>
        </m:r>
        <m:r>
          <m:t>e</m:t>
        </m:r>
        <m:r>
          <m:t>c</m:t>
        </m:r>
        <m:r>
          <m:t>o</m:t>
        </m:r>
        <m:r>
          <m:t>m</m:t>
        </m:r>
        <m:r>
          <m:t>p</m:t>
        </m:r>
        <m:r>
          <m:t>a</m:t>
        </m:r>
        <m:r>
          <m:t>n</m:t>
        </m:r>
        <m:r>
          <m:t>y</m:t>
        </m:r>
        <m:r>
          <m:t>i</m:t>
        </m:r>
        <m:r>
          <m:t>s</m:t>
        </m:r>
        <m:r>
          <m:t>s</m:t>
        </m:r>
        <m:r>
          <m:t>u</m:t>
        </m:r>
        <m:r>
          <m:t>e</m:t>
        </m:r>
        <m:r>
          <m:t>d</m:t>
        </m:r>
        <m:r>
          <m:rPr>
            <m:sty m:val="p"/>
          </m:rPr>
          <m:t>*</m:t>
        </m:r>
        <m:r>
          <m:rPr>
            <m:sty m:val="p"/>
          </m:rPr>
          <m:t>*</m:t>
        </m:r>
      </m:oMath>
      <w:r>
        <w:rPr>
          <w:b/>
          <w:bCs/>
        </w:rPr>
        <w:t xml:space="preserve">1.1 billion</w:t>
      </w:r>
      <w:r>
        <w:t xml:space="preserve"> </w:t>
      </w:r>
      <w:r>
        <w:t xml:space="preserve">of senior notes: $600 million of 4.75% notes due 2031 and $500 million of 5.25% notes due 2036.</w:t>
      </w:r>
    </w:p>
    <w:p>
      <w:pPr>
        <w:pStyle w:val="BodyText"/>
      </w:pPr>
      <w:r>
        <w:t xml:space="preserve">The Q2 call should clarify the intended use of the new debt proceeds and how management balances further repurchases, potential bolt-on M&amp;A, and deleveraging. Management has emphasized a preference for disciplined, accretive bolt-ons, but buybacks remain the dominant visible use of capital.</w:t>
      </w:r>
    </w:p>
    <w:bookmarkEnd w:id="18"/>
    <w:bookmarkStart w:id="21" w:name="bull--bear-framing"/>
    <w:p>
      <w:pPr>
        <w:pStyle w:val="Heading2"/>
      </w:pPr>
      <w:r>
        <w:t xml:space="preserve">Bull / bear framing</w:t>
      </w:r>
    </w:p>
    <w:bookmarkStart w:id="19" w:name="bull-case"/>
    <w:p>
      <w:pPr>
        <w:pStyle w:val="Heading3"/>
      </w:pPr>
      <w:r>
        <w:t xml:space="preserve">Bull case</w:t>
      </w:r>
    </w:p>
    <w:p>
      <w:pPr>
        <w:pStyle w:val="Compact"/>
        <w:numPr>
          <w:ilvl w:val="0"/>
          <w:numId w:val="1007"/>
        </w:numPr>
      </w:pPr>
      <w:r>
        <w:t xml:space="preserve">Underlying IOS growth remains healthy despite the loss of Q1’s calendar tailwind.</w:t>
      </w:r>
    </w:p>
    <w:p>
      <w:pPr>
        <w:pStyle w:val="Compact"/>
        <w:numPr>
          <w:ilvl w:val="0"/>
          <w:numId w:val="1007"/>
        </w:numPr>
      </w:pPr>
      <w:r>
        <w:t xml:space="preserve">Fluke converts data-center interest into measurable orders and revenue pull-through.</w:t>
      </w:r>
    </w:p>
    <w:p>
      <w:pPr>
        <w:pStyle w:val="Compact"/>
        <w:numPr>
          <w:ilvl w:val="0"/>
          <w:numId w:val="1007"/>
        </w:numPr>
      </w:pPr>
      <w:r>
        <w:t xml:space="preserve">FAL and healthcare software sustain above-company growth and reinforce recurring revenue quality.</w:t>
      </w:r>
    </w:p>
    <w:p>
      <w:pPr>
        <w:pStyle w:val="Compact"/>
        <w:numPr>
          <w:ilvl w:val="0"/>
          <w:numId w:val="1007"/>
        </w:numPr>
      </w:pPr>
      <w:r>
        <w:t xml:space="preserve">AHS capital markets improve as comparisons ease.</w:t>
      </w:r>
    </w:p>
    <w:p>
      <w:pPr>
        <w:pStyle w:val="Compact"/>
        <w:numPr>
          <w:ilvl w:val="0"/>
          <w:numId w:val="1007"/>
        </w:numPr>
      </w:pPr>
      <w:r>
        <w:t xml:space="preserve">Tariff countermeasures protect EBITDA margins and support an increase in full-year EPS guidance.</w:t>
      </w:r>
    </w:p>
    <w:p>
      <w:pPr>
        <w:pStyle w:val="Compact"/>
        <w:numPr>
          <w:ilvl w:val="0"/>
          <w:numId w:val="1007"/>
        </w:numPr>
      </w:pPr>
      <w:r>
        <w:t xml:space="preserve">Continued repurchases amplify per-share earnings growth.</w:t>
      </w:r>
    </w:p>
    <w:bookmarkEnd w:id="19"/>
    <w:bookmarkStart w:id="20" w:name="bear-case"/>
    <w:p>
      <w:pPr>
        <w:pStyle w:val="Heading3"/>
      </w:pPr>
      <w:r>
        <w:t xml:space="preserve">Bear case</w:t>
      </w:r>
    </w:p>
    <w:p>
      <w:pPr>
        <w:pStyle w:val="Compact"/>
        <w:numPr>
          <w:ilvl w:val="0"/>
          <w:numId w:val="1008"/>
        </w:numPr>
      </w:pPr>
      <w:r>
        <w:t xml:space="preserve">Q1 proves unusually calendar-assisted, and organic growth falls back toward the low end of guidance.</w:t>
      </w:r>
    </w:p>
    <w:p>
      <w:pPr>
        <w:pStyle w:val="Compact"/>
        <w:numPr>
          <w:ilvl w:val="0"/>
          <w:numId w:val="1008"/>
        </w:numPr>
      </w:pPr>
      <w:r>
        <w:t xml:space="preserve">Fluke’s data-center contribution remains strategically compelling but financially immaterial near term.</w:t>
      </w:r>
    </w:p>
    <w:p>
      <w:pPr>
        <w:pStyle w:val="Compact"/>
        <w:numPr>
          <w:ilvl w:val="0"/>
          <w:numId w:val="1008"/>
        </w:numPr>
      </w:pPr>
      <w:r>
        <w:t xml:space="preserve">Hospital capital spending stays weak, limiting AHS recovery.</w:t>
      </w:r>
    </w:p>
    <w:p>
      <w:pPr>
        <w:pStyle w:val="Compact"/>
        <w:numPr>
          <w:ilvl w:val="0"/>
          <w:numId w:val="1008"/>
        </w:numPr>
      </w:pPr>
      <w:r>
        <w:t xml:space="preserve">Tariff, mix, or investment pressure constrains margins more than expected.</w:t>
      </w:r>
    </w:p>
    <w:p>
      <w:pPr>
        <w:pStyle w:val="Compact"/>
        <w:numPr>
          <w:ilvl w:val="0"/>
          <w:numId w:val="1008"/>
        </w:numPr>
      </w:pPr>
      <w:r>
        <w:t xml:space="preserve">Buyback-funded EPS growth becomes less attractive if leverage and interest costs rise without a corresponding growth acceleration.</w:t>
      </w:r>
    </w:p>
    <w:bookmarkEnd w:id="20"/>
    <w:bookmarkEnd w:id="21"/>
    <w:bookmarkStart w:id="22" w:name="key-questions-for-the-earnings-call"/>
    <w:p>
      <w:pPr>
        <w:pStyle w:val="Heading2"/>
      </w:pPr>
      <w:r>
        <w:t xml:space="preserve">Key questions for the earnings call</w:t>
      </w:r>
    </w:p>
    <w:p>
      <w:pPr>
        <w:pStyle w:val="Compact"/>
        <w:numPr>
          <w:ilvl w:val="0"/>
          <w:numId w:val="1009"/>
        </w:numPr>
      </w:pPr>
      <w:r>
        <w:rPr>
          <w:b/>
          <w:bCs/>
        </w:rPr>
        <w:t xml:space="preserve">How did core growth compare with Q1 after removing the 150-bps selling-day benefit?</w:t>
      </w:r>
    </w:p>
    <w:p>
      <w:pPr>
        <w:pStyle w:val="Compact"/>
        <w:numPr>
          <w:ilvl w:val="0"/>
          <w:numId w:val="1009"/>
        </w:numPr>
      </w:pPr>
      <w:r>
        <w:rPr>
          <w:b/>
          <w:bCs/>
        </w:rPr>
        <w:t xml:space="preserve">Did IOS orders continue to outpace revenue, and is Fluke still above a 1.0 book-to-bill?</w:t>
      </w:r>
    </w:p>
    <w:p>
      <w:pPr>
        <w:pStyle w:val="Compact"/>
        <w:numPr>
          <w:ilvl w:val="0"/>
          <w:numId w:val="1009"/>
        </w:numPr>
      </w:pPr>
      <w:r>
        <w:rPr>
          <w:b/>
          <w:bCs/>
        </w:rPr>
        <w:t xml:space="preserve">What measurable evidence can management provide on data-center revenue, product pull-through, or customer-specification wins?</w:t>
      </w:r>
    </w:p>
    <w:p>
      <w:pPr>
        <w:pStyle w:val="Compact"/>
        <w:numPr>
          <w:ilvl w:val="0"/>
          <w:numId w:val="1009"/>
        </w:numPr>
      </w:pPr>
      <w:r>
        <w:rPr>
          <w:b/>
          <w:bCs/>
        </w:rPr>
        <w:t xml:space="preserve">Did FAL again outgrow IOS on an organic basis, and what are the latest ARR and retention trends?</w:t>
      </w:r>
    </w:p>
    <w:p>
      <w:pPr>
        <w:pStyle w:val="Compact"/>
        <w:numPr>
          <w:ilvl w:val="0"/>
          <w:numId w:val="1009"/>
        </w:numPr>
      </w:pPr>
      <w:r>
        <w:rPr>
          <w:b/>
          <w:bCs/>
        </w:rPr>
        <w:t xml:space="preserve">Has AHS capital-equipment demand improved beyond the modest Q1 sequential improvement?</w:t>
      </w:r>
    </w:p>
    <w:p>
      <w:pPr>
        <w:pStyle w:val="Compact"/>
        <w:numPr>
          <w:ilvl w:val="0"/>
          <w:numId w:val="1009"/>
        </w:numPr>
      </w:pPr>
      <w:r>
        <w:rPr>
          <w:b/>
          <w:bCs/>
        </w:rPr>
        <w:t xml:space="preserve">How much tariff-related gross-margin pressure remains in Q2, and is the company still fully offsetting it at the operating-profit level?</w:t>
      </w:r>
    </w:p>
    <w:p>
      <w:pPr>
        <w:pStyle w:val="Compact"/>
        <w:numPr>
          <w:ilvl w:val="0"/>
          <w:numId w:val="1009"/>
        </w:numPr>
      </w:pPr>
      <w:r>
        <w:rPr>
          <w:b/>
          <w:bCs/>
        </w:rPr>
        <w:t xml:space="preserve">Does management maintain its view that 2026 results are tracking toward the upper half of the</w:t>
      </w:r>
      <w:r>
        <w:rPr>
          <w:b/>
          <w:bCs/>
        </w:rPr>
        <w:t xml:space="preserve"> </w:t>
      </w:r>
      <m:oMath>
        <m:r>
          <m:t>2.90</m:t>
        </m:r>
        <m:r>
          <m:rPr>
            <m:sty m:val="p"/>
          </m:rPr>
          <m:t>–</m:t>
        </m:r>
      </m:oMath>
      <w:r>
        <w:rPr>
          <w:b/>
          <w:bCs/>
        </w:rPr>
        <w:t xml:space="preserve">3.00 adjusted-EPS range?</w:t>
      </w:r>
    </w:p>
    <w:p>
      <w:pPr>
        <w:pStyle w:val="Compact"/>
        <w:numPr>
          <w:ilvl w:val="0"/>
          <w:numId w:val="1009"/>
        </w:numPr>
      </w:pPr>
      <w:r>
        <w:rPr>
          <w:b/>
          <w:bCs/>
        </w:rPr>
        <w:t xml:space="preserve">What is the expected cadence of repurchases, debt reduction, and bolt-on M&amp;A following the May debt issuance?</w:t>
      </w:r>
    </w:p>
    <w:bookmarkEnd w:id="22"/>
    <w:bookmarkStart w:id="24" w:name="bottom-line"/>
    <w:p>
      <w:pPr>
        <w:pStyle w:val="Heading2"/>
      </w:pPr>
      <w:r>
        <w:t xml:space="preserve">Bottom line</w:t>
      </w:r>
    </w:p>
    <w:p>
      <w:pPr>
        <w:pStyle w:val="FirstParagraph"/>
      </w:pPr>
      <w:r>
        <w:t xml:space="preserve">Fortive has set a reasonably favorable bar for 2Q: adjusted EPS around the Q1 level, organic growth near the upper end of the full-year framework, and continued tariff offset at the bottom line. The report is likely to be judged on the</w:t>
      </w:r>
      <w:r>
        <w:t xml:space="preserve"> </w:t>
      </w:r>
      <w:r>
        <w:rPr>
          <w:b/>
          <w:bCs/>
        </w:rPr>
        <w:t xml:space="preserve">durability and composition</w:t>
      </w:r>
      <w:r>
        <w:t xml:space="preserve"> </w:t>
      </w:r>
      <w:r>
        <w:t xml:space="preserve">of growth rather than the headline EPS result alone.</w:t>
      </w:r>
    </w:p>
    <w:p>
      <w:pPr>
        <w:pStyle w:val="BodyText"/>
      </w:pPr>
      <w:r>
        <w:t xml:space="preserve">The most constructive outcome would be a print showing resilient IOS demand, tangible Fluke/data-center traction, sustained software-led growth, incremental AHS recovery, and enough confidence to make an upper-half-of-guidance outcome feel conservative rather than merely achievable.</w:t>
      </w:r>
    </w:p>
    <w:bookmarkStart w:id="23" w:name="sources-reviewed"/>
    <w:p>
      <w:pPr>
        <w:pStyle w:val="Heading3"/>
      </w:pPr>
      <w:r>
        <w:t xml:space="preserve">Sources reviewed</w:t>
      </w:r>
    </w:p>
    <w:p>
      <w:pPr>
        <w:pStyle w:val="Compact"/>
        <w:numPr>
          <w:ilvl w:val="0"/>
          <w:numId w:val="1010"/>
        </w:numPr>
      </w:pPr>
      <w:r>
        <w:t xml:space="preserve">Fortive 1Q26 earnings release and earnings-call transcript, April 30, 2026.</w:t>
      </w:r>
    </w:p>
    <w:p>
      <w:pPr>
        <w:pStyle w:val="Compact"/>
        <w:numPr>
          <w:ilvl w:val="0"/>
          <w:numId w:val="1010"/>
        </w:numPr>
      </w:pPr>
      <w:r>
        <w:t xml:space="preserve">Fortive 1Q26 Form 10-Q, filed April 30, 2026.</w:t>
      </w:r>
    </w:p>
    <w:p>
      <w:pPr>
        <w:pStyle w:val="Compact"/>
        <w:numPr>
          <w:ilvl w:val="0"/>
          <w:numId w:val="1010"/>
        </w:numPr>
      </w:pPr>
      <w:r>
        <w:t xml:space="preserve">Fortive senior-note supplemental indenture, May 14, 2026.</w:t>
      </w:r>
    </w:p>
    <w:p>
      <w:pPr>
        <w:pStyle w:val="Compact"/>
        <w:numPr>
          <w:ilvl w:val="0"/>
          <w:numId w:val="1010"/>
        </w:numPr>
      </w:pPr>
      <w:r>
        <w:t xml:space="preserve">FTV historical share-price data through July 28, 2026.</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2026-07-29T01:07:27Z</dcterms:created>
  <dcterms:modified xsi:type="dcterms:W3CDTF">2026-07-29T01:07:27Z</dcterms:modified>
</cp:coreProperties>
</file>

<file path=docProps/custom.xml><?xml version="1.0" encoding="utf-8"?>
<Properties xmlns="http://schemas.openxmlformats.org/officeDocument/2006/custom-properties" xmlns:vt="http://schemas.openxmlformats.org/officeDocument/2006/docPropsVTypes"/>
</file>