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Fortive Corporation (FTV) — Q2 2026 Earnings Preview</w:t>
      </w:r>
    </w:p>
    <w:p>
      <w:r>
        <w:rPr>
          <w:rFonts w:ascii="Calibri" w:hAnsi="Calibri"/>
          <w:b/>
          <w:color w:val="525866"/>
          <w:sz w:val="22"/>
        </w:rPr>
        <w:t xml:space="preserve">Prepared: </w:t>
      </w:r>
      <w:r>
        <w:rPr>
          <w:rFonts w:ascii="Calibri" w:hAnsi="Calibri"/>
          <w:color w:val="525866"/>
          <w:sz w:val="22"/>
        </w:rPr>
        <w:t xml:space="preserve">July 28, 2026     </w:t>
      </w:r>
      <w:r>
        <w:rPr>
          <w:rFonts w:ascii="Calibri" w:hAnsi="Calibri"/>
          <w:b/>
          <w:color w:val="525866"/>
          <w:sz w:val="22"/>
        </w:rPr>
        <w:t xml:space="preserve">Upcoming Earnings: </w:t>
      </w:r>
      <w:r>
        <w:rPr>
          <w:rFonts w:ascii="Calibri" w:hAnsi="Calibri"/>
          <w:color w:val="525866"/>
          <w:sz w:val="22"/>
        </w:rPr>
        <w:t xml:space="preserve">Q2 2026 (date TBD per July 1, 2026 press release)     </w:t>
      </w:r>
      <w:r>
        <w:rPr>
          <w:rFonts w:ascii="Calibri" w:hAnsi="Calibri"/>
          <w:b/>
          <w:color w:val="525866"/>
          <w:sz w:val="22"/>
        </w:rPr>
        <w:t xml:space="preserve">Sector ETF: </w:t>
      </w:r>
      <w:r>
        <w:rPr>
          <w:rFonts w:ascii="Calibri" w:hAnsi="Calibri"/>
          <w:color w:val="525866"/>
          <w:sz w:val="22"/>
        </w:rPr>
        <w:t>XLI (Industrials)</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 xml:space="preserve">The setup into FTV's Q2 2026 print is </w:t>
      </w:r>
      <w:r>
        <w:rPr>
          <w:rFonts w:ascii="Calibri" w:hAnsi="Calibri"/>
          <w:b/>
          <w:color w:val="525866"/>
          <w:sz w:val="22"/>
        </w:rPr>
        <w:t>constructive</w:t>
      </w:r>
      <w:r>
        <w:rPr>
          <w:rFonts w:ascii="Calibri" w:hAnsi="Calibri"/>
          <w:color w:val="525866"/>
          <w:sz w:val="22"/>
        </w:rPr>
        <w:t xml:space="preserve"> — consensus sits at a manageable bar with core growth guided to mid-single digits and EPS broadly in line with Q1's $0.70 print, while management's tone has been consistently more confident since the Q1 call. The biggest swing factor is whether </w:t>
      </w:r>
      <w:r>
        <w:rPr>
          <w:rFonts w:ascii="Calibri" w:hAnsi="Calibri"/>
          <w:b/>
          <w:color w:val="525866"/>
          <w:sz w:val="22"/>
        </w:rPr>
        <w:t>Gordian's June government-spending seasonality delivered</w:t>
      </w:r>
      <w:r>
        <w:rPr>
          <w:rFonts w:ascii="Calibri" w:hAnsi="Calibri"/>
          <w:color w:val="525866"/>
          <w:sz w:val="22"/>
        </w:rPr>
        <w:t>, and whether AHS continues its Q1 acceleration.</w:t>
      </w:r>
    </w:p>
    <w:p>
      <w:r>
        <w:rPr>
          <w:rFonts w:ascii="Calibri" w:hAnsi="Calibri"/>
          <w:color w:val="525866"/>
          <w:sz w:val="22"/>
        </w:rPr>
        <w:t xml:space="preserve">Heading into Q2 2026, Fortive presents a setup that favors a </w:t>
      </w:r>
      <w:r>
        <w:rPr>
          <w:rFonts w:ascii="Calibri" w:hAnsi="Calibri"/>
          <w:b/>
          <w:color w:val="525866"/>
          <w:sz w:val="22"/>
        </w:rPr>
        <w:t>modest beat</w:t>
      </w:r>
      <w:r>
        <w:rPr>
          <w:rFonts w:ascii="Calibri" w:hAnsi="Calibri"/>
          <w:color w:val="525866"/>
          <w:sz w:val="22"/>
        </w:rPr>
        <w:t xml:space="preserve">. Management guided Q2 EPS to be 'broadly similar' to Q1's $0.70 adjusted EPS, implying consensus of ~$0.71 is a low bar. Core growth is expected in the mid-single-digit range — a step-down from Q1's 5.3% (which benefited from 3 extra selling days) but still representing underlying acceleration. The Q1 earnings call tone was notably more confident, with management flagging results </w:t>
      </w:r>
      <w:r>
        <w:rPr>
          <w:rFonts w:ascii="Calibri" w:hAnsi="Calibri"/>
          <w:b/>
          <w:color w:val="525866"/>
          <w:sz w:val="22"/>
        </w:rPr>
        <w:t>'trending toward the upper half'</w:t>
      </w:r>
      <w:r>
        <w:rPr>
          <w:rFonts w:ascii="Calibri" w:hAnsi="Calibri"/>
          <w:color w:val="525866"/>
          <w:sz w:val="22"/>
        </w:rPr>
        <w:t xml:space="preserve"> of both revenue and EPS guidance ranges. At the Wolfe Research conference in May, CEO Soroye confirmed April came in 'strong' and 'nicely aligned with expectations,' and the company remained 'firmly on track' with guidance. The stock has risen +7.2% since Q1 earnings, outpacing SPY (+3.1%) but roughly in line with XLI (+4.5%), suggesting the market has not yet re-rated the stock for sustained execution. The wildcard is </w:t>
      </w:r>
      <w:r>
        <w:rPr>
          <w:rFonts w:ascii="Calibri" w:hAnsi="Calibri"/>
          <w:b/>
          <w:color w:val="525866"/>
          <w:sz w:val="22"/>
        </w:rPr>
        <w:t>Gordian</w:t>
      </w:r>
      <w:r>
        <w:rPr>
          <w:rFonts w:ascii="Calibri" w:hAnsi="Calibri"/>
          <w:color w:val="525866"/>
          <w:sz w:val="22"/>
        </w:rPr>
        <w:t>: management specifically called out June as a 'more sizable month' for government year-end spending, and a strong Gordian quarter could be the upside catalyst that drives a guidance raise.</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manageable bar</w:t>
      </w:r>
      <w:r>
        <w:rPr>
          <w:rFonts w:ascii="Calibri" w:hAnsi="Calibri"/>
          <w:color w:val="525866"/>
          <w:sz w:val="22"/>
        </w:rPr>
        <w:t xml:space="preserve"> — Q2 EPS of ~$0.71 is essentially flat with Q1's $0.70 actual, and core growth of ~3.8% is below Q1's reported 5.3% (which had a selling-days tailwind). </w:t>
      </w:r>
      <w:r>
        <w:rPr>
          <w:rFonts w:ascii="Calibri" w:hAnsi="Calibri"/>
          <w:b/>
          <w:color w:val="525866"/>
          <w:sz w:val="22"/>
        </w:rPr>
        <w:t>AHS is the bigger swing factor</w:t>
      </w:r>
      <w:r>
        <w:rPr>
          <w:rFonts w:ascii="Calibri" w:hAnsi="Calibri"/>
          <w:color w:val="525866"/>
          <w:sz w:val="22"/>
        </w:rPr>
        <w:t xml:space="preserve"> given its Q1 acceleration to ~6% core growth.</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($M)</w:t>
            </w:r>
          </w:p>
        </w:tc>
        <w:tc>
          <w:tcPr>
            <w:tcW w:type="dxa" w:w="1234"/>
          </w:tcPr>
          <w:p>
            <w:r>
              <w:rPr>
                <w:rFonts w:ascii="Calibri" w:hAnsi="Calibri"/>
                <w:sz w:val="22"/>
              </w:rPr>
              <w:t>$1,069.4M</w:t>
            </w:r>
          </w:p>
        </w:tc>
        <w:tc>
          <w:tcPr>
            <w:tcW w:type="dxa" w:w="1234"/>
          </w:tcPr>
          <w:p>
            <w:r>
              <w:rPr>
                <w:rFonts w:ascii="Calibri" w:hAnsi="Calibri"/>
                <w:sz w:val="22"/>
              </w:rPr>
              <w:t>$1,016.4M</w:t>
            </w:r>
          </w:p>
        </w:tc>
        <w:tc>
          <w:tcPr>
            <w:tcW w:type="dxa" w:w="1234"/>
          </w:tcPr>
          <w:p>
            <w:r>
              <w:rPr>
                <w:rFonts w:ascii="Calibri" w:hAnsi="Calibri"/>
                <w:sz w:val="22"/>
              </w:rPr>
              <w:t>$1,070.1M</w:t>
            </w:r>
          </w:p>
        </w:tc>
        <w:tc>
          <w:tcPr>
            <w:tcW w:type="dxa" w:w="1234"/>
          </w:tcPr>
          <w:p>
            <w:r>
              <w:rPr>
                <w:rFonts w:ascii="Calibri" w:hAnsi="Calibri"/>
                <w:sz w:val="22"/>
              </w:rPr>
              <w:t>+5.3%</w:t>
            </w:r>
          </w:p>
        </w:tc>
        <w:tc>
          <w:tcPr>
            <w:tcW w:type="dxa" w:w="1234"/>
          </w:tcPr>
          <w:p>
            <w:r>
              <w:rPr>
                <w:rFonts w:ascii="Calibri" w:hAnsi="Calibri"/>
                <w:sz w:val="22"/>
              </w:rPr>
              <w:t>~$4.3B FY (implies ~$1,060–1,080M Q2)</w:t>
            </w:r>
          </w:p>
        </w:tc>
        <w:tc>
          <w:tcPr>
            <w:tcW w:type="dxa" w:w="1234"/>
          </w:tcPr>
          <w:p>
            <w:r>
              <w:rPr>
                <w:rFonts w:ascii="Calibri" w:hAnsi="Calibri"/>
                <w:sz w:val="22"/>
              </w:rPr>
              <w:t>In line</w:t>
            </w:r>
          </w:p>
        </w:tc>
      </w:tr>
      <w:tr>
        <w:tc>
          <w:tcPr>
            <w:tcW w:type="dxa" w:w="1234"/>
          </w:tcPr>
          <w:p>
            <w:r>
              <w:rPr>
                <w:rFonts w:ascii="Calibri" w:hAnsi="Calibri"/>
                <w:sz w:val="22"/>
              </w:rPr>
              <w:t>IOS Revenue ($M)</w:t>
            </w:r>
          </w:p>
        </w:tc>
        <w:tc>
          <w:tcPr>
            <w:tcW w:type="dxa" w:w="1234"/>
          </w:tcPr>
          <w:p>
            <w:r>
              <w:rPr>
                <w:rFonts w:ascii="Calibri" w:hAnsi="Calibri"/>
                <w:sz w:val="22"/>
              </w:rPr>
              <w:t>$743.2M</w:t>
            </w:r>
          </w:p>
        </w:tc>
        <w:tc>
          <w:tcPr>
            <w:tcW w:type="dxa" w:w="1234"/>
          </w:tcPr>
          <w:p>
            <w:r>
              <w:rPr>
                <w:rFonts w:ascii="Calibri" w:hAnsi="Calibri"/>
                <w:sz w:val="22"/>
              </w:rPr>
              <w:t>$696.9M</w:t>
            </w:r>
          </w:p>
        </w:tc>
        <w:tc>
          <w:tcPr>
            <w:tcW w:type="dxa" w:w="1234"/>
          </w:tcPr>
          <w:p>
            <w:r>
              <w:rPr>
                <w:rFonts w:ascii="Calibri" w:hAnsi="Calibri"/>
                <w:sz w:val="22"/>
              </w:rPr>
              <w:t>$737.0M</w:t>
            </w:r>
          </w:p>
        </w:tc>
        <w:tc>
          <w:tcPr>
            <w:tcW w:type="dxa" w:w="1234"/>
          </w:tcPr>
          <w:p>
            <w:r>
              <w:rPr>
                <w:rFonts w:ascii="Calibri" w:hAnsi="Calibri"/>
                <w:sz w:val="22"/>
              </w:rPr>
              <w:t>+5.8%</w:t>
            </w:r>
          </w:p>
        </w:tc>
        <w:tc>
          <w:tcPr>
            <w:tcW w:type="dxa" w:w="1234"/>
          </w:tcPr>
          <w:p>
            <w:r>
              <w:rPr>
                <w:rFonts w:ascii="Calibri" w:hAnsi="Calibri"/>
                <w:sz w:val="22"/>
              </w:rPr>
              <w:t>Mid-single digit core growth</w:t>
            </w:r>
          </w:p>
        </w:tc>
        <w:tc>
          <w:tcPr>
            <w:tcW w:type="dxa" w:w="1234"/>
          </w:tcPr>
          <w:p>
            <w:r>
              <w:rPr>
                <w:rFonts w:ascii="Calibri" w:hAnsi="Calibri"/>
                <w:sz w:val="22"/>
              </w:rPr>
              <w:t>In line</w:t>
            </w:r>
          </w:p>
        </w:tc>
      </w:tr>
      <w:tr>
        <w:tc>
          <w:tcPr>
            <w:tcW w:type="dxa" w:w="1234"/>
          </w:tcPr>
          <w:p>
            <w:r>
              <w:rPr>
                <w:rFonts w:ascii="Calibri" w:hAnsi="Calibri"/>
                <w:sz w:val="22"/>
              </w:rPr>
              <w:t>AHS Revenue ($M)</w:t>
            </w:r>
          </w:p>
        </w:tc>
        <w:tc>
          <w:tcPr>
            <w:tcW w:type="dxa" w:w="1234"/>
          </w:tcPr>
          <w:p>
            <w:r>
              <w:rPr>
                <w:rFonts w:ascii="Calibri" w:hAnsi="Calibri"/>
                <w:sz w:val="22"/>
              </w:rPr>
              <w:t>$326.2M</w:t>
            </w:r>
          </w:p>
        </w:tc>
        <w:tc>
          <w:tcPr>
            <w:tcW w:type="dxa" w:w="1234"/>
          </w:tcPr>
          <w:p>
            <w:r>
              <w:rPr>
                <w:rFonts w:ascii="Calibri" w:hAnsi="Calibri"/>
                <w:sz w:val="22"/>
              </w:rPr>
              <w:t>$319.5M</w:t>
            </w:r>
          </w:p>
        </w:tc>
        <w:tc>
          <w:tcPr>
            <w:tcW w:type="dxa" w:w="1234"/>
          </w:tcPr>
          <w:p>
            <w:r>
              <w:rPr>
                <w:rFonts w:ascii="Calibri" w:hAnsi="Calibri"/>
                <w:sz w:val="22"/>
              </w:rPr>
              <w:t>$333.1M</w:t>
            </w:r>
          </w:p>
        </w:tc>
        <w:tc>
          <w:tcPr>
            <w:tcW w:type="dxa" w:w="1234"/>
          </w:tcPr>
          <w:p>
            <w:r>
              <w:rPr>
                <w:rFonts w:ascii="Calibri" w:hAnsi="Calibri"/>
                <w:sz w:val="22"/>
              </w:rPr>
              <w:t>+4.3%</w:t>
            </w:r>
          </w:p>
        </w:tc>
        <w:tc>
          <w:tcPr>
            <w:tcW w:type="dxa" w:w="1234"/>
          </w:tcPr>
          <w:p>
            <w:r>
              <w:rPr>
                <w:rFonts w:ascii="Calibri" w:hAnsi="Calibri"/>
                <w:sz w:val="22"/>
              </w:rPr>
              <w:t>Slight acceleration vs. Q4</w:t>
            </w:r>
          </w:p>
        </w:tc>
        <w:tc>
          <w:tcPr>
            <w:tcW w:type="dxa" w:w="1234"/>
          </w:tcPr>
          <w:p>
            <w:r>
              <w:rPr>
                <w:rFonts w:ascii="Calibri" w:hAnsi="Calibri"/>
                <w:sz w:val="22"/>
              </w:rPr>
              <w:t>In line</w:t>
            </w:r>
          </w:p>
        </w:tc>
      </w:tr>
      <w:tr>
        <w:tc>
          <w:tcPr>
            <w:tcW w:type="dxa" w:w="1234"/>
          </w:tcPr>
          <w:p>
            <w:r>
              <w:rPr>
                <w:rFonts w:ascii="Calibri" w:hAnsi="Calibri"/>
                <w:sz w:val="22"/>
              </w:rPr>
              <w:t>Adj. EPS (Diluted)</w:t>
            </w:r>
          </w:p>
        </w:tc>
        <w:tc>
          <w:tcPr>
            <w:tcW w:type="dxa" w:w="1234"/>
          </w:tcPr>
          <w:p>
            <w:r>
              <w:rPr>
                <w:rFonts w:ascii="Calibri" w:hAnsi="Calibri"/>
                <w:sz w:val="22"/>
              </w:rPr>
              <w:t>$0.70</w:t>
            </w:r>
          </w:p>
        </w:tc>
        <w:tc>
          <w:tcPr>
            <w:tcW w:type="dxa" w:w="1234"/>
          </w:tcPr>
          <w:p>
            <w:r>
              <w:rPr>
                <w:rFonts w:ascii="Calibri" w:hAnsi="Calibri"/>
                <w:sz w:val="22"/>
              </w:rPr>
              <w:t>$0.58</w:t>
            </w:r>
          </w:p>
        </w:tc>
        <w:tc>
          <w:tcPr>
            <w:tcW w:type="dxa" w:w="1234"/>
          </w:tcPr>
          <w:p>
            <w:r>
              <w:rPr>
                <w:rFonts w:ascii="Calibri" w:hAnsi="Calibri"/>
                <w:sz w:val="22"/>
              </w:rPr>
              <w:t>$0.71</w:t>
            </w:r>
          </w:p>
        </w:tc>
        <w:tc>
          <w:tcPr>
            <w:tcW w:type="dxa" w:w="1234"/>
          </w:tcPr>
          <w:p>
            <w:r>
              <w:rPr>
                <w:rFonts w:ascii="Calibri" w:hAnsi="Calibri"/>
                <w:sz w:val="22"/>
              </w:rPr>
              <w:t>+22.4%</w:t>
            </w:r>
          </w:p>
        </w:tc>
        <w:tc>
          <w:tcPr>
            <w:tcW w:type="dxa" w:w="1234"/>
          </w:tcPr>
          <w:p>
            <w:r>
              <w:rPr>
                <w:rFonts w:ascii="Calibri" w:hAnsi="Calibri"/>
                <w:sz w:val="22"/>
              </w:rPr>
              <w:t>'Broadly similar to Q1' (~$0.70)</w:t>
            </w:r>
          </w:p>
        </w:tc>
        <w:tc>
          <w:tcPr>
            <w:tcW w:type="dxa" w:w="1234"/>
          </w:tcPr>
          <w:p>
            <w:r>
              <w:rPr>
                <w:rFonts w:ascii="Calibri" w:hAnsi="Calibri"/>
                <w:sz w:val="22"/>
              </w:rPr>
              <w:t>+1.4% above guidance midpoint</w:t>
            </w:r>
          </w:p>
        </w:tc>
      </w:tr>
      <w:tr>
        <w:tc>
          <w:tcPr>
            <w:tcW w:type="dxa" w:w="1234"/>
          </w:tcPr>
          <w:p>
            <w:r>
              <w:rPr>
                <w:rFonts w:ascii="Calibri" w:hAnsi="Calibri"/>
                <w:sz w:val="22"/>
              </w:rPr>
              <w:t>Adj. EBITDA Margin</w:t>
            </w:r>
          </w:p>
        </w:tc>
        <w:tc>
          <w:tcPr>
            <w:tcW w:type="dxa" w:w="1234"/>
          </w:tcPr>
          <w:p>
            <w:r>
              <w:rPr>
                <w:rFonts w:ascii="Calibri" w:hAnsi="Calibri"/>
                <w:sz w:val="22"/>
              </w:rPr>
              <w:t>29.3%</w:t>
            </w:r>
          </w:p>
        </w:tc>
        <w:tc>
          <w:tcPr>
            <w:tcW w:type="dxa" w:w="1234"/>
          </w:tcPr>
          <w:p>
            <w:r>
              <w:rPr>
                <w:rFonts w:ascii="Calibri" w:hAnsi="Calibri"/>
                <w:sz w:val="22"/>
              </w:rPr>
              <w:t>28.4%</w:t>
            </w:r>
          </w:p>
        </w:tc>
        <w:tc>
          <w:tcPr>
            <w:tcW w:type="dxa" w:w="1234"/>
          </w:tcPr>
          <w:p>
            <w:r>
              <w:rPr>
                <w:rFonts w:ascii="Calibri" w:hAnsi="Calibri"/>
                <w:sz w:val="22"/>
              </w:rPr>
              <w:t>29.6%</w:t>
            </w:r>
          </w:p>
        </w:tc>
        <w:tc>
          <w:tcPr>
            <w:tcW w:type="dxa" w:w="1234"/>
          </w:tcPr>
          <w:p>
            <w:r>
              <w:rPr>
                <w:rFonts w:ascii="Calibri" w:hAnsi="Calibri"/>
                <w:sz w:val="22"/>
              </w:rPr>
              <w:t>+120bps</w:t>
            </w:r>
          </w:p>
        </w:tc>
        <w:tc>
          <w:tcPr>
            <w:tcW w:type="dxa" w:w="1234"/>
          </w:tcPr>
          <w:p>
            <w:r>
              <w:rPr>
                <w:rFonts w:ascii="Calibri" w:hAnsi="Calibri"/>
                <w:sz w:val="22"/>
              </w:rPr>
              <w:t>50–100bps annual expansion</w:t>
            </w:r>
          </w:p>
        </w:tc>
        <w:tc>
          <w:tcPr>
            <w:tcW w:type="dxa" w:w="1234"/>
          </w:tcPr>
          <w:p>
            <w:r>
              <w:rPr>
                <w:rFonts w:ascii="Calibri" w:hAnsi="Calibri"/>
                <w:sz w:val="22"/>
              </w:rPr>
              <w:t>In line</w:t>
            </w:r>
          </w:p>
        </w:tc>
      </w:tr>
      <w:tr>
        <w:tc>
          <w:tcPr>
            <w:tcW w:type="dxa" w:w="1234"/>
          </w:tcPr>
          <w:p>
            <w:r>
              <w:rPr>
                <w:rFonts w:ascii="Calibri" w:hAnsi="Calibri"/>
                <w:sz w:val="22"/>
              </w:rPr>
              <w:t>Core Organic Growth</w:t>
            </w:r>
          </w:p>
        </w:tc>
        <w:tc>
          <w:tcPr>
            <w:tcW w:type="dxa" w:w="1234"/>
          </w:tcPr>
          <w:p>
            <w:r>
              <w:rPr>
                <w:rFonts w:ascii="Calibri" w:hAnsi="Calibri"/>
                <w:sz w:val="22"/>
              </w:rPr>
              <w:t>5.4%</w:t>
            </w:r>
          </w:p>
        </w:tc>
        <w:tc>
          <w:tcPr>
            <w:tcW w:type="dxa" w:w="1234"/>
          </w:tcPr>
          <w:p>
            <w:r>
              <w:rPr>
                <w:rFonts w:ascii="Calibri" w:hAnsi="Calibri"/>
                <w:sz w:val="22"/>
              </w:rPr>
              <w:t>-0.7%</w:t>
            </w:r>
          </w:p>
        </w:tc>
        <w:tc>
          <w:tcPr>
            <w:tcW w:type="dxa" w:w="1234"/>
          </w:tcPr>
          <w:p>
            <w:r>
              <w:rPr>
                <w:rFonts w:ascii="Calibri" w:hAnsi="Calibri"/>
                <w:sz w:val="22"/>
              </w:rPr>
              <w:t>3.8%</w:t>
            </w:r>
          </w:p>
        </w:tc>
        <w:tc>
          <w:tcPr>
            <w:tcW w:type="dxa" w:w="1234"/>
          </w:tcPr>
          <w:p>
            <w:r>
              <w:rPr>
                <w:rFonts w:ascii="Calibri" w:hAnsi="Calibri"/>
                <w:sz w:val="22"/>
              </w:rPr>
              <w:t>N/A</w:t>
            </w:r>
          </w:p>
        </w:tc>
        <w:tc>
          <w:tcPr>
            <w:tcW w:type="dxa" w:w="1234"/>
          </w:tcPr>
          <w:p>
            <w:r>
              <w:rPr>
                <w:rFonts w:ascii="Calibri" w:hAnsi="Calibri"/>
                <w:sz w:val="22"/>
              </w:rPr>
              <w:t>Mid-single digit for Q2</w:t>
            </w:r>
          </w:p>
        </w:tc>
        <w:tc>
          <w:tcPr>
            <w:tcW w:type="dxa" w:w="1234"/>
          </w:tcPr>
          <w:p>
            <w:r>
              <w:rPr>
                <w:rFonts w:ascii="Calibri" w:hAnsi="Calibri"/>
                <w:sz w:val="22"/>
              </w:rPr>
              <w:t>In line</w:t>
            </w:r>
          </w:p>
        </w:tc>
      </w:tr>
      <w:tr>
        <w:tc>
          <w:tcPr>
            <w:tcW w:type="dxa" w:w="1234"/>
          </w:tcPr>
          <w:p>
            <w:r>
              <w:rPr>
                <w:rFonts w:ascii="Calibri" w:hAnsi="Calibri"/>
                <w:sz w:val="22"/>
              </w:rPr>
              <w:t>Free Cash Flow ($M)</w:t>
            </w:r>
          </w:p>
        </w:tc>
        <w:tc>
          <w:tcPr>
            <w:tcW w:type="dxa" w:w="1234"/>
          </w:tcPr>
          <w:p>
            <w:r>
              <w:rPr>
                <w:rFonts w:ascii="Calibri" w:hAnsi="Calibri"/>
                <w:sz w:val="22"/>
              </w:rPr>
              <w:t>$193.8M</w:t>
            </w:r>
          </w:p>
        </w:tc>
        <w:tc>
          <w:tcPr>
            <w:tcW w:type="dxa" w:w="1234"/>
          </w:tcPr>
          <w:p>
            <w:r>
              <w:rPr>
                <w:rFonts w:ascii="Calibri" w:hAnsi="Calibri"/>
                <w:sz w:val="22"/>
              </w:rPr>
              <w:t>$180.0M</w:t>
            </w:r>
          </w:p>
        </w:tc>
        <w:tc>
          <w:tcPr>
            <w:tcW w:type="dxa" w:w="1234"/>
          </w:tcPr>
          <w:p>
            <w:r>
              <w:rPr>
                <w:rFonts w:ascii="Calibri" w:hAnsi="Calibri"/>
                <w:sz w:val="22"/>
              </w:rPr>
              <w:t>$74.9M</w:t>
            </w:r>
          </w:p>
        </w:tc>
        <w:tc>
          <w:tcPr>
            <w:tcW w:type="dxa" w:w="1234"/>
          </w:tcPr>
          <w:p>
            <w:r>
              <w:rPr>
                <w:rFonts w:ascii="Calibri" w:hAnsi="Calibri"/>
                <w:sz w:val="22"/>
              </w:rPr>
              <w:t>-58.4%</w:t>
            </w:r>
          </w:p>
        </w:tc>
        <w:tc>
          <w:tcPr>
            <w:tcW w:type="dxa" w:w="1234"/>
          </w:tcPr>
          <w:p>
            <w:r>
              <w:rPr>
                <w:rFonts w:ascii="Calibri" w:hAnsi="Calibri"/>
                <w:sz w:val="22"/>
              </w:rPr>
              <w:t>~$944M FY</w:t>
            </w:r>
          </w:p>
        </w:tc>
        <w:tc>
          <w:tcPr>
            <w:tcW w:type="dxa" w:w="1234"/>
          </w:tcPr>
          <w:p>
            <w:r>
              <w:rPr>
                <w:rFonts w:ascii="Calibri" w:hAnsi="Calibri"/>
                <w:sz w:val="22"/>
              </w:rPr>
              <w:t>Tracking below FY pace (Q1 typically light; H2 weighted)</w:t>
            </w:r>
          </w:p>
        </w:tc>
      </w:tr>
    </w:tbl>
    <w:p>
      <w:r>
        <w:rPr>
          <w:rFonts w:ascii="Calibri" w:hAnsi="Calibri"/>
          <w:i/>
          <w:color w:val="525866"/>
          <w:sz w:val="22"/>
        </w:rPr>
        <w:t>Source: Visible Alpha consensus and actuals data. All consensus figures as of July 28, 2026. Q2 FCF consensus appears seasonally light vs. Q1 actual; FY FCF consensus of $944M implies significant H2 weighting.</w:t>
      </w:r>
    </w:p>
    <w:p>
      <w:pPr>
        <w:pStyle w:val="Heading3"/>
      </w:pPr>
      <w:r>
        <w:rPr>
          <w:rFonts w:ascii="Calibri" w:hAnsi="Calibri"/>
          <w:b/>
          <w:color w:val="3B4259"/>
          <w:sz w:val="24"/>
        </w:rPr>
        <w:t>Table 2 — Beat/Miss History (Last 8 Quarters, Top 2 KPIs: Revenue &amp; Adj. EPS)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Quarter</w:t>
            </w:r>
          </w:p>
        </w:tc>
        <w:tc>
          <w:tcPr>
            <w:tcW w:type="dxa" w:w="1080"/>
            <w:shd w:val="clear" w:color="auto" w:fill="3B4259"/>
          </w:tcPr>
          <w:p>
            <w:r>
              <w:rPr>
                <w:rFonts w:ascii="Calibri" w:hAnsi="Calibri"/>
                <w:b/>
                <w:color w:val="FFFFFF"/>
                <w:sz w:val="22"/>
              </w:rPr>
              <w:t>Revenue Reported</w:t>
            </w:r>
          </w:p>
        </w:tc>
        <w:tc>
          <w:tcPr>
            <w:tcW w:type="dxa" w:w="1080"/>
            <w:shd w:val="clear" w:color="auto" w:fill="3B4259"/>
          </w:tcPr>
          <w:p>
            <w:r>
              <w:rPr>
                <w:rFonts w:ascii="Calibri" w:hAnsi="Calibri"/>
                <w:b/>
                <w:color w:val="FFFFFF"/>
                <w:sz w:val="22"/>
              </w:rPr>
              <w:t>Revenue Consensus</w:t>
            </w:r>
          </w:p>
        </w:tc>
        <w:tc>
          <w:tcPr>
            <w:tcW w:type="dxa" w:w="1080"/>
            <w:shd w:val="clear" w:color="auto" w:fill="3B4259"/>
          </w:tcPr>
          <w:p>
            <w:r>
              <w:rPr>
                <w:rFonts w:ascii="Calibri" w:hAnsi="Calibri"/>
                <w:b/>
                <w:color w:val="FFFFFF"/>
                <w:sz w:val="22"/>
              </w:rPr>
              <w:t>Rev. Surprise</w:t>
            </w:r>
          </w:p>
        </w:tc>
        <w:tc>
          <w:tcPr>
            <w:tcW w:type="dxa" w:w="1080"/>
            <w:shd w:val="clear" w:color="auto" w:fill="3B4259"/>
          </w:tcPr>
          <w:p>
            <w:r>
              <w:rPr>
                <w:rFonts w:ascii="Calibri" w:hAnsi="Calibri"/>
                <w:b/>
                <w:color w:val="FFFFFF"/>
                <w:sz w:val="22"/>
              </w:rPr>
              <w:t>EPS Reported</w:t>
            </w:r>
          </w:p>
        </w:tc>
        <w:tc>
          <w:tcPr>
            <w:tcW w:type="dxa" w:w="1080"/>
            <w:shd w:val="clear" w:color="auto" w:fill="3B4259"/>
          </w:tcPr>
          <w:p>
            <w:r>
              <w:rPr>
                <w:rFonts w:ascii="Calibri" w:hAnsi="Calibri"/>
                <w:b/>
                <w:color w:val="FFFFFF"/>
                <w:sz w:val="22"/>
              </w:rPr>
              <w:t>EPS Consensus</w:t>
            </w:r>
          </w:p>
        </w:tc>
        <w:tc>
          <w:tcPr>
            <w:tcW w:type="dxa" w:w="1080"/>
            <w:shd w:val="clear" w:color="auto" w:fill="3B4259"/>
          </w:tcPr>
          <w:p>
            <w:r>
              <w:rPr>
                <w:rFonts w:ascii="Calibri" w:hAnsi="Calibri"/>
                <w:b/>
                <w:color w:val="FFFFFF"/>
                <w:sz w:val="22"/>
              </w:rPr>
              <w:t>EPS Surprise</w:t>
            </w:r>
          </w:p>
        </w:tc>
        <w:tc>
          <w:tcPr>
            <w:tcW w:type="dxa" w:w="1080"/>
            <w:shd w:val="clear" w:color="auto" w:fill="3B4259"/>
          </w:tcPr>
          <w:p>
            <w:r>
              <w:rPr>
                <w:rFonts w:ascii="Calibri" w:hAnsi="Calibri"/>
                <w:b/>
                <w:color w:val="FFFFFF"/>
                <w:sz w:val="22"/>
              </w:rPr>
              <w:t>Result</w:t>
            </w:r>
          </w:p>
        </w:tc>
      </w:tr>
      <w:tr>
        <w:tc>
          <w:tcPr>
            <w:tcW w:type="dxa" w:w="1080"/>
          </w:tcPr>
          <w:p>
            <w:r>
              <w:rPr>
                <w:rFonts w:ascii="Calibri" w:hAnsi="Calibri"/>
                <w:sz w:val="22"/>
              </w:rPr>
              <w:t>Q1 2026</w:t>
            </w:r>
          </w:p>
        </w:tc>
        <w:tc>
          <w:tcPr>
            <w:tcW w:type="dxa" w:w="1080"/>
          </w:tcPr>
          <w:p>
            <w:r>
              <w:rPr>
                <w:rFonts w:ascii="Calibri" w:hAnsi="Calibri"/>
                <w:sz w:val="22"/>
              </w:rPr>
              <w:t>$1,069.4M</w:t>
            </w:r>
          </w:p>
        </w:tc>
        <w:tc>
          <w:tcPr>
            <w:tcW w:type="dxa" w:w="1080"/>
          </w:tcPr>
          <w:p>
            <w:r>
              <w:rPr>
                <w:rFonts w:ascii="Calibri" w:hAnsi="Calibri"/>
                <w:sz w:val="22"/>
              </w:rPr>
              <w:t>$1,044.7M</w:t>
            </w:r>
          </w:p>
        </w:tc>
        <w:tc>
          <w:tcPr>
            <w:tcW w:type="dxa" w:w="1080"/>
          </w:tcPr>
          <w:p>
            <w:r>
              <w:rPr>
                <w:rFonts w:ascii="Calibri" w:hAnsi="Calibri"/>
                <w:b/>
                <w:color w:val="30A46C"/>
                <w:sz w:val="22"/>
              </w:rPr>
              <w:t>+2.4%</w:t>
            </w:r>
          </w:p>
        </w:tc>
        <w:tc>
          <w:tcPr>
            <w:tcW w:type="dxa" w:w="1080"/>
          </w:tcPr>
          <w:p>
            <w:r>
              <w:rPr>
                <w:rFonts w:ascii="Calibri" w:hAnsi="Calibri"/>
                <w:sz w:val="22"/>
              </w:rPr>
              <w:t>$0.70</w:t>
            </w:r>
          </w:p>
        </w:tc>
        <w:tc>
          <w:tcPr>
            <w:tcW w:type="dxa" w:w="1080"/>
          </w:tcPr>
          <w:p>
            <w:r>
              <w:rPr>
                <w:rFonts w:ascii="Calibri" w:hAnsi="Calibri"/>
                <w:sz w:val="22"/>
              </w:rPr>
              <w:t>$0.65</w:t>
            </w:r>
          </w:p>
        </w:tc>
        <w:tc>
          <w:tcPr>
            <w:tcW w:type="dxa" w:w="1080"/>
          </w:tcPr>
          <w:p>
            <w:r>
              <w:rPr>
                <w:rFonts w:ascii="Calibri" w:hAnsi="Calibri"/>
                <w:b/>
                <w:color w:val="30A46C"/>
                <w:sz w:val="22"/>
              </w:rPr>
              <w:t>+6.5%</w:t>
            </w:r>
          </w:p>
        </w:tc>
        <w:tc>
          <w:tcPr>
            <w:tcW w:type="dxa" w:w="1080"/>
          </w:tcPr>
          <w:p>
            <w:r>
              <w:rPr>
                <w:rFonts w:ascii="Calibri" w:hAnsi="Calibri"/>
                <w:sz w:val="22"/>
              </w:rPr>
              <w:t>Beat / Beat</w:t>
            </w:r>
          </w:p>
        </w:tc>
      </w:tr>
      <w:tr>
        <w:tc>
          <w:tcPr>
            <w:tcW w:type="dxa" w:w="1080"/>
          </w:tcPr>
          <w:p>
            <w:r>
              <w:rPr>
                <w:rFonts w:ascii="Calibri" w:hAnsi="Calibri"/>
                <w:sz w:val="22"/>
              </w:rPr>
              <w:t>Q4 2025</w:t>
            </w:r>
          </w:p>
        </w:tc>
        <w:tc>
          <w:tcPr>
            <w:tcW w:type="dxa" w:w="1080"/>
          </w:tcPr>
          <w:p>
            <w:r>
              <w:rPr>
                <w:rFonts w:ascii="Calibri" w:hAnsi="Calibri"/>
                <w:sz w:val="22"/>
              </w:rPr>
              <w:t>$1,122.5M</w:t>
            </w:r>
          </w:p>
        </w:tc>
        <w:tc>
          <w:tcPr>
            <w:tcW w:type="dxa" w:w="1080"/>
          </w:tcPr>
          <w:p>
            <w:r>
              <w:rPr>
                <w:rFonts w:ascii="Calibri" w:hAnsi="Calibri"/>
                <w:sz w:val="22"/>
              </w:rPr>
              <w:t>$1,092.8M</w:t>
            </w:r>
          </w:p>
        </w:tc>
        <w:tc>
          <w:tcPr>
            <w:tcW w:type="dxa" w:w="1080"/>
          </w:tcPr>
          <w:p>
            <w:r>
              <w:rPr>
                <w:rFonts w:ascii="Calibri" w:hAnsi="Calibri"/>
                <w:b/>
                <w:color w:val="30A46C"/>
                <w:sz w:val="22"/>
              </w:rPr>
              <w:t>+2.7%</w:t>
            </w:r>
          </w:p>
        </w:tc>
        <w:tc>
          <w:tcPr>
            <w:tcW w:type="dxa" w:w="1080"/>
          </w:tcPr>
          <w:p>
            <w:r>
              <w:rPr>
                <w:rFonts w:ascii="Calibri" w:hAnsi="Calibri"/>
                <w:sz w:val="22"/>
              </w:rPr>
              <w:t>$0.90</w:t>
            </w:r>
          </w:p>
        </w:tc>
        <w:tc>
          <w:tcPr>
            <w:tcW w:type="dxa" w:w="1080"/>
          </w:tcPr>
          <w:p>
            <w:r>
              <w:rPr>
                <w:rFonts w:ascii="Calibri" w:hAnsi="Calibri"/>
                <w:sz w:val="22"/>
              </w:rPr>
              <w:t>$0.84</w:t>
            </w:r>
          </w:p>
        </w:tc>
        <w:tc>
          <w:tcPr>
            <w:tcW w:type="dxa" w:w="1080"/>
          </w:tcPr>
          <w:p>
            <w:r>
              <w:rPr>
                <w:rFonts w:ascii="Calibri" w:hAnsi="Calibri"/>
                <w:b/>
                <w:color w:val="30A46C"/>
                <w:sz w:val="22"/>
              </w:rPr>
              <w:t>+7.1%</w:t>
            </w:r>
          </w:p>
        </w:tc>
        <w:tc>
          <w:tcPr>
            <w:tcW w:type="dxa" w:w="1080"/>
          </w:tcPr>
          <w:p>
            <w:r>
              <w:rPr>
                <w:rFonts w:ascii="Calibri" w:hAnsi="Calibri"/>
                <w:sz w:val="22"/>
              </w:rPr>
              <w:t>Beat / Beat</w:t>
            </w:r>
          </w:p>
        </w:tc>
      </w:tr>
      <w:tr>
        <w:tc>
          <w:tcPr>
            <w:tcW w:type="dxa" w:w="1080"/>
          </w:tcPr>
          <w:p>
            <w:r>
              <w:rPr>
                <w:rFonts w:ascii="Calibri" w:hAnsi="Calibri"/>
                <w:sz w:val="22"/>
              </w:rPr>
              <w:t>Q3 2025</w:t>
            </w:r>
          </w:p>
        </w:tc>
        <w:tc>
          <w:tcPr>
            <w:tcW w:type="dxa" w:w="1080"/>
          </w:tcPr>
          <w:p>
            <w:r>
              <w:rPr>
                <w:rFonts w:ascii="Calibri" w:hAnsi="Calibri"/>
                <w:sz w:val="22"/>
              </w:rPr>
              <w:t>$1,027.1M</w:t>
            </w:r>
          </w:p>
        </w:tc>
        <w:tc>
          <w:tcPr>
            <w:tcW w:type="dxa" w:w="1080"/>
          </w:tcPr>
          <w:p>
            <w:r>
              <w:rPr>
                <w:rFonts w:ascii="Calibri" w:hAnsi="Calibri"/>
                <w:sz w:val="22"/>
              </w:rPr>
              <w:t>$1,008.3M</w:t>
            </w:r>
          </w:p>
        </w:tc>
        <w:tc>
          <w:tcPr>
            <w:tcW w:type="dxa" w:w="1080"/>
          </w:tcPr>
          <w:p>
            <w:r>
              <w:rPr>
                <w:rFonts w:ascii="Calibri" w:hAnsi="Calibri"/>
                <w:b/>
                <w:color w:val="30A46C"/>
                <w:sz w:val="22"/>
              </w:rPr>
              <w:t>+1.9%</w:t>
            </w:r>
          </w:p>
        </w:tc>
        <w:tc>
          <w:tcPr>
            <w:tcW w:type="dxa" w:w="1080"/>
          </w:tcPr>
          <w:p>
            <w:r>
              <w:rPr>
                <w:rFonts w:ascii="Calibri" w:hAnsi="Calibri"/>
                <w:sz w:val="22"/>
              </w:rPr>
              <w:t>$0.68</w:t>
            </w:r>
          </w:p>
        </w:tc>
        <w:tc>
          <w:tcPr>
            <w:tcW w:type="dxa" w:w="1080"/>
          </w:tcPr>
          <w:p>
            <w:r>
              <w:rPr>
                <w:rFonts w:ascii="Calibri" w:hAnsi="Calibri"/>
                <w:sz w:val="22"/>
              </w:rPr>
              <w:t>$0.57</w:t>
            </w:r>
          </w:p>
        </w:tc>
        <w:tc>
          <w:tcPr>
            <w:tcW w:type="dxa" w:w="1080"/>
          </w:tcPr>
          <w:p>
            <w:r>
              <w:rPr>
                <w:rFonts w:ascii="Calibri" w:hAnsi="Calibri"/>
                <w:b/>
                <w:color w:val="30A46C"/>
                <w:sz w:val="22"/>
              </w:rPr>
              <w:t>+19.3%</w:t>
            </w:r>
          </w:p>
        </w:tc>
        <w:tc>
          <w:tcPr>
            <w:tcW w:type="dxa" w:w="1080"/>
          </w:tcPr>
          <w:p>
            <w:r>
              <w:rPr>
                <w:rFonts w:ascii="Calibri" w:hAnsi="Calibri"/>
                <w:sz w:val="22"/>
              </w:rPr>
              <w:t>Beat / Beat</w:t>
            </w:r>
          </w:p>
        </w:tc>
      </w:tr>
      <w:tr>
        <w:tc>
          <w:tcPr>
            <w:tcW w:type="dxa" w:w="1080"/>
          </w:tcPr>
          <w:p>
            <w:r>
              <w:rPr>
                <w:rFonts w:ascii="Calibri" w:hAnsi="Calibri"/>
                <w:sz w:val="22"/>
              </w:rPr>
              <w:t>Q2 2025</w:t>
            </w:r>
          </w:p>
        </w:tc>
        <w:tc>
          <w:tcPr>
            <w:tcW w:type="dxa" w:w="1080"/>
          </w:tcPr>
          <w:p>
            <w:r>
              <w:rPr>
                <w:rFonts w:ascii="Calibri" w:hAnsi="Calibri"/>
                <w:sz w:val="22"/>
              </w:rPr>
              <w:t>$1,016.4M</w:t>
            </w:r>
          </w:p>
        </w:tc>
        <w:tc>
          <w:tcPr>
            <w:tcW w:type="dxa" w:w="1080"/>
          </w:tcPr>
          <w:p>
            <w:r>
              <w:rPr>
                <w:rFonts w:ascii="Calibri" w:hAnsi="Calibri"/>
                <w:sz w:val="22"/>
              </w:rPr>
              <w:t>$1,010.9M</w:t>
            </w:r>
          </w:p>
        </w:tc>
        <w:tc>
          <w:tcPr>
            <w:tcW w:type="dxa" w:w="1080"/>
          </w:tcPr>
          <w:p>
            <w:r>
              <w:rPr>
                <w:rFonts w:ascii="Calibri" w:hAnsi="Calibri"/>
                <w:b/>
                <w:color w:val="30A46C"/>
                <w:sz w:val="22"/>
              </w:rPr>
              <w:t>+0.5%</w:t>
            </w:r>
          </w:p>
        </w:tc>
        <w:tc>
          <w:tcPr>
            <w:tcW w:type="dxa" w:w="1080"/>
          </w:tcPr>
          <w:p>
            <w:r>
              <w:rPr>
                <w:rFonts w:ascii="Calibri" w:hAnsi="Calibri"/>
                <w:sz w:val="22"/>
              </w:rPr>
              <w:t>$0.58</w:t>
            </w:r>
          </w:p>
        </w:tc>
        <w:tc>
          <w:tcPr>
            <w:tcW w:type="dxa" w:w="1080"/>
          </w:tcPr>
          <w:p>
            <w:r>
              <w:rPr>
                <w:rFonts w:ascii="Calibri" w:hAnsi="Calibri"/>
                <w:sz w:val="22"/>
              </w:rPr>
              <w:t>$0.60</w:t>
            </w:r>
          </w:p>
        </w:tc>
        <w:tc>
          <w:tcPr>
            <w:tcW w:type="dxa" w:w="1080"/>
          </w:tcPr>
          <w:p>
            <w:r>
              <w:rPr>
                <w:rFonts w:ascii="Calibri" w:hAnsi="Calibri"/>
                <w:b/>
                <w:color w:val="E5484D"/>
                <w:sz w:val="22"/>
              </w:rPr>
              <w:t>-3.3%</w:t>
            </w:r>
          </w:p>
        </w:tc>
        <w:tc>
          <w:tcPr>
            <w:tcW w:type="dxa" w:w="1080"/>
          </w:tcPr>
          <w:p>
            <w:r>
              <w:rPr>
                <w:rFonts w:ascii="Calibri" w:hAnsi="Calibri"/>
                <w:sz w:val="22"/>
              </w:rPr>
              <w:t>Beat / Miss</w:t>
            </w:r>
          </w:p>
        </w:tc>
      </w:tr>
      <w:tr>
        <w:tc>
          <w:tcPr>
            <w:tcW w:type="dxa" w:w="1080"/>
          </w:tcPr>
          <w:p>
            <w:r>
              <w:rPr>
                <w:rFonts w:ascii="Calibri" w:hAnsi="Calibri"/>
                <w:sz w:val="22"/>
              </w:rPr>
              <w:t>Q4 2024*</w:t>
            </w:r>
          </w:p>
        </w:tc>
        <w:tc>
          <w:tcPr>
            <w:tcW w:type="dxa" w:w="1080"/>
          </w:tcPr>
          <w:p>
            <w:r>
              <w:rPr>
                <w:rFonts w:ascii="Calibri" w:hAnsi="Calibri"/>
                <w:sz w:val="22"/>
              </w:rPr>
              <w:t>$1,072.8M</w:t>
            </w:r>
          </w:p>
        </w:tc>
        <w:tc>
          <w:tcPr>
            <w:tcW w:type="dxa" w:w="1080"/>
          </w:tcPr>
          <w:p>
            <w:r>
              <w:rPr>
                <w:rFonts w:ascii="Calibri" w:hAnsi="Calibri"/>
                <w:sz w:val="22"/>
              </w:rPr>
              <w:t>N/A (pre-spin)</w:t>
            </w:r>
          </w:p>
        </w:tc>
        <w:tc>
          <w:tcPr>
            <w:tcW w:type="dxa" w:w="1080"/>
          </w:tcPr>
          <w:p>
            <w:r>
              <w:rPr>
                <w:rFonts w:ascii="Calibri" w:hAnsi="Calibri"/>
                <w:sz w:val="22"/>
              </w:rPr>
              <w:t>N/A</w:t>
            </w:r>
          </w:p>
        </w:tc>
        <w:tc>
          <w:tcPr>
            <w:tcW w:type="dxa" w:w="1080"/>
          </w:tcPr>
          <w:p>
            <w:r>
              <w:rPr>
                <w:rFonts w:ascii="Calibri" w:hAnsi="Calibri"/>
                <w:sz w:val="22"/>
              </w:rPr>
              <w:t>$0.80</w:t>
            </w:r>
          </w:p>
        </w:tc>
        <w:tc>
          <w:tcPr>
            <w:tcW w:type="dxa" w:w="1080"/>
          </w:tcPr>
          <w:p>
            <w:r>
              <w:rPr>
                <w:rFonts w:ascii="Calibri" w:hAnsi="Calibri"/>
                <w:sz w:val="22"/>
              </w:rPr>
              <w:t>N/A (pre-spin)</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Q3 2024*</w:t>
            </w:r>
          </w:p>
        </w:tc>
        <w:tc>
          <w:tcPr>
            <w:tcW w:type="dxa" w:w="1080"/>
          </w:tcPr>
          <w:p>
            <w:r>
              <w:rPr>
                <w:rFonts w:ascii="Calibri" w:hAnsi="Calibri"/>
                <w:sz w:val="22"/>
              </w:rPr>
              <w:t>$1,003.7M</w:t>
            </w:r>
          </w:p>
        </w:tc>
        <w:tc>
          <w:tcPr>
            <w:tcW w:type="dxa" w:w="1080"/>
          </w:tcPr>
          <w:p>
            <w:r>
              <w:rPr>
                <w:rFonts w:ascii="Calibri" w:hAnsi="Calibri"/>
                <w:sz w:val="22"/>
              </w:rPr>
              <w:t>N/A (pre-spin)</w:t>
            </w:r>
          </w:p>
        </w:tc>
        <w:tc>
          <w:tcPr>
            <w:tcW w:type="dxa" w:w="1080"/>
          </w:tcPr>
          <w:p>
            <w:r>
              <w:rPr>
                <w:rFonts w:ascii="Calibri" w:hAnsi="Calibri"/>
                <w:sz w:val="22"/>
              </w:rPr>
              <w:t>N/A</w:t>
            </w:r>
          </w:p>
        </w:tc>
        <w:tc>
          <w:tcPr>
            <w:tcW w:type="dxa" w:w="1080"/>
          </w:tcPr>
          <w:p>
            <w:r>
              <w:rPr>
                <w:rFonts w:ascii="Calibri" w:hAnsi="Calibri"/>
                <w:sz w:val="22"/>
              </w:rPr>
              <w:t>$0.59</w:t>
            </w:r>
          </w:p>
        </w:tc>
        <w:tc>
          <w:tcPr>
            <w:tcW w:type="dxa" w:w="1080"/>
          </w:tcPr>
          <w:p>
            <w:r>
              <w:rPr>
                <w:rFonts w:ascii="Calibri" w:hAnsi="Calibri"/>
                <w:sz w:val="22"/>
              </w:rPr>
              <w:t>N/A (pre-spin)</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Q2 2024*</w:t>
            </w:r>
          </w:p>
        </w:tc>
        <w:tc>
          <w:tcPr>
            <w:tcW w:type="dxa" w:w="1080"/>
          </w:tcPr>
          <w:p>
            <w:r>
              <w:rPr>
                <w:rFonts w:ascii="Calibri" w:hAnsi="Calibri"/>
                <w:sz w:val="22"/>
              </w:rPr>
              <w:t>$1,020.2M</w:t>
            </w:r>
          </w:p>
        </w:tc>
        <w:tc>
          <w:tcPr>
            <w:tcW w:type="dxa" w:w="1080"/>
          </w:tcPr>
          <w:p>
            <w:r>
              <w:rPr>
                <w:rFonts w:ascii="Calibri" w:hAnsi="Calibri"/>
                <w:sz w:val="22"/>
              </w:rPr>
              <w:t>N/A (pre-spin)</w:t>
            </w:r>
          </w:p>
        </w:tc>
        <w:tc>
          <w:tcPr>
            <w:tcW w:type="dxa" w:w="1080"/>
          </w:tcPr>
          <w:p>
            <w:r>
              <w:rPr>
                <w:rFonts w:ascii="Calibri" w:hAnsi="Calibri"/>
                <w:sz w:val="22"/>
              </w:rPr>
              <w:t>N/A</w:t>
            </w:r>
          </w:p>
        </w:tc>
        <w:tc>
          <w:tcPr>
            <w:tcW w:type="dxa" w:w="1080"/>
          </w:tcPr>
          <w:p>
            <w:r>
              <w:rPr>
                <w:rFonts w:ascii="Calibri" w:hAnsi="Calibri"/>
                <w:sz w:val="22"/>
              </w:rPr>
              <w:t>$0.56</w:t>
            </w:r>
          </w:p>
        </w:tc>
        <w:tc>
          <w:tcPr>
            <w:tcW w:type="dxa" w:w="1080"/>
          </w:tcPr>
          <w:p>
            <w:r>
              <w:rPr>
                <w:rFonts w:ascii="Calibri" w:hAnsi="Calibri"/>
                <w:sz w:val="22"/>
              </w:rPr>
              <w:t>N/A (pre-spin)</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 Pre-spin quarters (Q2–Q4 2024) include the Ralliant segment and are not comparable to New Fortive. Post-spin (Q2 2025 onward): FTV has beaten revenue in 3 of 3 comparable quarters. EPS beat in 2 of 3 post-spin quarters; Q2 2025 was a slight miss. Pattern: consistent revenue beats; EPS beats have been accelerating in magnitude.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Full-year guidance was reaffirmed at Q1 earnings with management signaling results are </w:t>
      </w:r>
      <w:r>
        <w:rPr>
          <w:rFonts w:ascii="Calibri" w:hAnsi="Calibri"/>
          <w:b/>
          <w:color w:val="525866"/>
          <w:sz w:val="22"/>
        </w:rPr>
        <w:t>'trending toward the upper half'</w:t>
      </w:r>
      <w:r>
        <w:rPr>
          <w:rFonts w:ascii="Calibri" w:hAnsi="Calibri"/>
          <w:color w:val="525866"/>
          <w:sz w:val="22"/>
        </w:rPr>
        <w:t xml:space="preserve"> of both revenue and EPS ranges — a meaningful upgrade in tone without a formal raise. </w:t>
      </w:r>
      <w:r>
        <w:rPr>
          <w:rFonts w:ascii="Calibri" w:hAnsi="Calibri"/>
          <w:b/>
          <w:color w:val="525866"/>
          <w:sz w:val="22"/>
        </w:rPr>
        <w:t>No post-earnings guidance changes have been disclosed.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Feb 4,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~$4.3B reported</w:t>
            </w:r>
          </w:p>
        </w:tc>
        <w:tc>
          <w:tcPr>
            <w:tcW w:type="dxa" w:w="1728"/>
          </w:tcPr>
          <w:p>
            <w:r>
              <w:rPr>
                <w:rFonts w:ascii="Calibri" w:hAnsi="Calibri"/>
                <w:sz w:val="22"/>
              </w:rPr>
              <w:t>—</w:t>
            </w:r>
          </w:p>
        </w:tc>
        <w:tc>
          <w:tcPr>
            <w:tcW w:type="dxa" w:w="1728"/>
          </w:tcPr>
          <w:p>
            <w:r>
              <w:rPr>
                <w:rFonts w:ascii="Calibri" w:hAnsi="Calibri"/>
                <w:sz w:val="22"/>
              </w:rPr>
              <w:t>$4.338B</w:t>
            </w:r>
          </w:p>
        </w:tc>
        <w:tc>
          <w:tcPr>
            <w:tcW w:type="dxa" w:w="1728"/>
          </w:tcPr>
          <w:p>
            <w:r>
              <w:rPr>
                <w:rFonts w:ascii="Calibri" w:hAnsi="Calibri"/>
                <w:sz w:val="22"/>
              </w:rPr>
              <w:t>Reaffirmed at Q1; no formal revision</w:t>
            </w:r>
          </w:p>
        </w:tc>
      </w:tr>
      <w:tr>
        <w:tc>
          <w:tcPr>
            <w:tcW w:type="dxa" w:w="1728"/>
          </w:tcPr>
          <w:p>
            <w:r>
              <w:rPr>
                <w:rFonts w:ascii="Calibri" w:hAnsi="Calibri"/>
                <w:sz w:val="22"/>
              </w:rPr>
              <w:t>FY 2026 Core Growth</w:t>
            </w:r>
          </w:p>
        </w:tc>
        <w:tc>
          <w:tcPr>
            <w:tcW w:type="dxa" w:w="1728"/>
          </w:tcPr>
          <w:p>
            <w:r>
              <w:rPr>
                <w:rFonts w:ascii="Calibri" w:hAnsi="Calibri"/>
                <w:sz w:val="22"/>
              </w:rPr>
              <w:t>2%–3%</w:t>
            </w:r>
          </w:p>
        </w:tc>
        <w:tc>
          <w:tcPr>
            <w:tcW w:type="dxa" w:w="1728"/>
          </w:tcPr>
          <w:p>
            <w:r>
              <w:rPr>
                <w:rFonts w:ascii="Calibri" w:hAnsi="Calibri"/>
                <w:sz w:val="22"/>
              </w:rPr>
              <w:t>—</w:t>
            </w:r>
          </w:p>
        </w:tc>
        <w:tc>
          <w:tcPr>
            <w:tcW w:type="dxa" w:w="1728"/>
          </w:tcPr>
          <w:p>
            <w:r>
              <w:rPr>
                <w:rFonts w:ascii="Calibri" w:hAnsi="Calibri"/>
                <w:sz w:val="22"/>
              </w:rPr>
              <w:t>3.0%</w:t>
            </w:r>
          </w:p>
        </w:tc>
        <w:tc>
          <w:tcPr>
            <w:tcW w:type="dxa" w:w="1728"/>
          </w:tcPr>
          <w:p>
            <w:r>
              <w:rPr>
                <w:rFonts w:ascii="Calibri" w:hAnsi="Calibri"/>
                <w:sz w:val="22"/>
              </w:rPr>
              <w:t>Reaffirmed; management flagged 'trending toward upper end' at Q1 call</w:t>
            </w:r>
          </w:p>
        </w:tc>
      </w:tr>
      <w:tr>
        <w:tc>
          <w:tcPr>
            <w:tcW w:type="dxa" w:w="1728"/>
          </w:tcPr>
          <w:p>
            <w:r>
              <w:rPr>
                <w:rFonts w:ascii="Calibri" w:hAnsi="Calibri"/>
                <w:sz w:val="22"/>
              </w:rPr>
              <w:t>FY 2026 Adj. EPS</w:t>
            </w:r>
          </w:p>
        </w:tc>
        <w:tc>
          <w:tcPr>
            <w:tcW w:type="dxa" w:w="1728"/>
          </w:tcPr>
          <w:p>
            <w:r>
              <w:rPr>
                <w:rFonts w:ascii="Calibri" w:hAnsi="Calibri"/>
                <w:sz w:val="22"/>
              </w:rPr>
              <w:t>$2.90–$3.00</w:t>
            </w:r>
          </w:p>
        </w:tc>
        <w:tc>
          <w:tcPr>
            <w:tcW w:type="dxa" w:w="1728"/>
          </w:tcPr>
          <w:p>
            <w:r>
              <w:rPr>
                <w:rFonts w:ascii="Calibri" w:hAnsi="Calibri"/>
                <w:sz w:val="22"/>
              </w:rPr>
              <w:t>—</w:t>
            </w:r>
          </w:p>
        </w:tc>
        <w:tc>
          <w:tcPr>
            <w:tcW w:type="dxa" w:w="1728"/>
          </w:tcPr>
          <w:p>
            <w:r>
              <w:rPr>
                <w:rFonts w:ascii="Calibri" w:hAnsi="Calibri"/>
                <w:sz w:val="22"/>
              </w:rPr>
              <w:t>$3.00</w:t>
            </w:r>
          </w:p>
        </w:tc>
        <w:tc>
          <w:tcPr>
            <w:tcW w:type="dxa" w:w="1728"/>
          </w:tcPr>
          <w:p>
            <w:r>
              <w:rPr>
                <w:rFonts w:ascii="Calibri" w:hAnsi="Calibri"/>
                <w:sz w:val="22"/>
              </w:rPr>
              <w:t>Reaffirmed; management flagged 'trending toward upper half' at Q1 call</w:t>
            </w:r>
          </w:p>
        </w:tc>
      </w:tr>
      <w:tr>
        <w:tc>
          <w:tcPr>
            <w:tcW w:type="dxa" w:w="1728"/>
          </w:tcPr>
          <w:p>
            <w:r>
              <w:rPr>
                <w:rFonts w:ascii="Calibri" w:hAnsi="Calibri"/>
                <w:sz w:val="22"/>
              </w:rPr>
              <w:t>FY 2026 Adj. EBITDA Margin</w:t>
            </w:r>
          </w:p>
        </w:tc>
        <w:tc>
          <w:tcPr>
            <w:tcW w:type="dxa" w:w="1728"/>
          </w:tcPr>
          <w:p>
            <w:r>
              <w:rPr>
                <w:rFonts w:ascii="Calibri" w:hAnsi="Calibri"/>
                <w:sz w:val="22"/>
              </w:rPr>
              <w:t>50–100bps expansion (2-yr framework)</w:t>
            </w:r>
          </w:p>
        </w:tc>
        <w:tc>
          <w:tcPr>
            <w:tcW w:type="dxa" w:w="1728"/>
          </w:tcPr>
          <w:p>
            <w:r>
              <w:rPr>
                <w:rFonts w:ascii="Calibri" w:hAnsi="Calibri"/>
                <w:sz w:val="22"/>
              </w:rPr>
              <w:t>—</w:t>
            </w:r>
          </w:p>
        </w:tc>
        <w:tc>
          <w:tcPr>
            <w:tcW w:type="dxa" w:w="1728"/>
          </w:tcPr>
          <w:p>
            <w:r>
              <w:rPr>
                <w:rFonts w:ascii="Calibri" w:hAnsi="Calibri"/>
                <w:sz w:val="22"/>
              </w:rPr>
              <w:t>30.1%</w:t>
            </w:r>
          </w:p>
        </w:tc>
        <w:tc>
          <w:tcPr>
            <w:tcW w:type="dxa" w:w="1728"/>
          </w:tcPr>
          <w:p>
            <w:r>
              <w:rPr>
                <w:rFonts w:ascii="Calibri" w:hAnsi="Calibri"/>
                <w:sz w:val="22"/>
              </w:rPr>
              <w:t>Consistent with 2-year framework</w:t>
            </w:r>
          </w:p>
        </w:tc>
      </w:tr>
      <w:tr>
        <w:tc>
          <w:tcPr>
            <w:tcW w:type="dxa" w:w="1728"/>
          </w:tcPr>
          <w:p>
            <w:r>
              <w:rPr>
                <w:rFonts w:ascii="Calibri" w:hAnsi="Calibri"/>
                <w:sz w:val="22"/>
              </w:rPr>
              <w:t>Q2 2026 Adj. EPS</w:t>
            </w:r>
          </w:p>
        </w:tc>
        <w:tc>
          <w:tcPr>
            <w:tcW w:type="dxa" w:w="1728"/>
          </w:tcPr>
          <w:p>
            <w:r>
              <w:rPr>
                <w:rFonts w:ascii="Calibri" w:hAnsi="Calibri"/>
                <w:sz w:val="22"/>
              </w:rPr>
              <w:t>'Broadly similar to Q1' (~$0.70)</w:t>
            </w:r>
          </w:p>
        </w:tc>
        <w:tc>
          <w:tcPr>
            <w:tcW w:type="dxa" w:w="1728"/>
          </w:tcPr>
          <w:p>
            <w:r>
              <w:rPr>
                <w:rFonts w:ascii="Calibri" w:hAnsi="Calibri"/>
                <w:sz w:val="22"/>
              </w:rPr>
              <w:t>—</w:t>
            </w:r>
          </w:p>
        </w:tc>
        <w:tc>
          <w:tcPr>
            <w:tcW w:type="dxa" w:w="1728"/>
          </w:tcPr>
          <w:p>
            <w:r>
              <w:rPr>
                <w:rFonts w:ascii="Calibri" w:hAnsi="Calibri"/>
                <w:sz w:val="22"/>
              </w:rPr>
              <w:t>$0.71</w:t>
            </w:r>
          </w:p>
        </w:tc>
        <w:tc>
          <w:tcPr>
            <w:tcW w:type="dxa" w:w="1728"/>
          </w:tcPr>
          <w:p>
            <w:r>
              <w:rPr>
                <w:rFonts w:ascii="Calibri" w:hAnsi="Calibri"/>
                <w:sz w:val="22"/>
              </w:rPr>
              <w:t>Provided at Q1 call; no revision</w:t>
            </w:r>
          </w:p>
        </w:tc>
      </w:tr>
      <w:tr>
        <w:tc>
          <w:tcPr>
            <w:tcW w:type="dxa" w:w="1728"/>
          </w:tcPr>
          <w:p>
            <w:r>
              <w:rPr>
                <w:rFonts w:ascii="Calibri" w:hAnsi="Calibri"/>
                <w:sz w:val="22"/>
              </w:rPr>
              <w:t>Q2 2026 Core Growth</w:t>
            </w:r>
          </w:p>
        </w:tc>
        <w:tc>
          <w:tcPr>
            <w:tcW w:type="dxa" w:w="1728"/>
          </w:tcPr>
          <w:p>
            <w:r>
              <w:rPr>
                <w:rFonts w:ascii="Calibri" w:hAnsi="Calibri"/>
                <w:sz w:val="22"/>
              </w:rPr>
              <w:t>Mid-single digit</w:t>
            </w:r>
          </w:p>
        </w:tc>
        <w:tc>
          <w:tcPr>
            <w:tcW w:type="dxa" w:w="1728"/>
          </w:tcPr>
          <w:p>
            <w:r>
              <w:rPr>
                <w:rFonts w:ascii="Calibri" w:hAnsi="Calibri"/>
                <w:sz w:val="22"/>
              </w:rPr>
              <w:t>—</w:t>
            </w:r>
          </w:p>
        </w:tc>
        <w:tc>
          <w:tcPr>
            <w:tcW w:type="dxa" w:w="1728"/>
          </w:tcPr>
          <w:p>
            <w:r>
              <w:rPr>
                <w:rFonts w:ascii="Calibri" w:hAnsi="Calibri"/>
                <w:sz w:val="22"/>
              </w:rPr>
              <w:t>3.8%</w:t>
            </w:r>
          </w:p>
        </w:tc>
        <w:tc>
          <w:tcPr>
            <w:tcW w:type="dxa" w:w="1728"/>
          </w:tcPr>
          <w:p>
            <w:r>
              <w:rPr>
                <w:rFonts w:ascii="Calibri" w:hAnsi="Calibri"/>
                <w:sz w:val="22"/>
              </w:rPr>
              <w:t>Provided at Q1 call; consensus at low end of 'mid-single digit'</w:t>
            </w:r>
          </w:p>
        </w:tc>
      </w:tr>
      <w:tr>
        <w:tc>
          <w:tcPr>
            <w:tcW w:type="dxa" w:w="1728"/>
          </w:tcPr>
          <w:p>
            <w:r>
              <w:rPr>
                <w:rFonts w:ascii="Calibri" w:hAnsi="Calibri"/>
                <w:sz w:val="22"/>
              </w:rPr>
              <w:t>Q2 2026 FX/M&amp;A Tailwind</w:t>
            </w:r>
          </w:p>
        </w:tc>
        <w:tc>
          <w:tcPr>
            <w:tcW w:type="dxa" w:w="1728"/>
          </w:tcPr>
          <w:p>
            <w:r>
              <w:rPr>
                <w:rFonts w:ascii="Calibri" w:hAnsi="Calibri"/>
                <w:sz w:val="22"/>
              </w:rPr>
              <w:t>~150bps to reported revenue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Provided at Q1 call; no revision</w:t>
            </w:r>
          </w:p>
        </w:tc>
      </w:tr>
    </w:tbl>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only marginally higher since Q1 earnings, consistent with management's 'upper half' signaling. The Street is already pricing in the </w:t>
      </w:r>
      <w:r>
        <w:rPr>
          <w:rFonts w:ascii="Calibri" w:hAnsi="Calibri"/>
          <w:b/>
          <w:color w:val="525866"/>
          <w:sz w:val="22"/>
        </w:rPr>
        <w:t>top of the guidance range</w:t>
      </w:r>
      <w:r>
        <w:rPr>
          <w:rFonts w:ascii="Calibri" w:hAnsi="Calibri"/>
          <w:color w:val="525866"/>
          <w:sz w:val="22"/>
        </w:rPr>
        <w:t xml:space="preserve"> on EPS ($3.00 consensus vs. $2.95 midpoint) — meaning a formal guidance raise would be needed to drive meaningful upward revisions.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~May 5, 2026 (5 days post Q1 earnings)</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Revenue — Q2 2026</w:t>
            </w:r>
          </w:p>
        </w:tc>
        <w:tc>
          <w:tcPr>
            <w:tcW w:type="dxa" w:w="1080"/>
          </w:tcPr>
          <w:p>
            <w:r>
              <w:rPr>
                <w:rFonts w:ascii="Calibri" w:hAnsi="Calibri"/>
                <w:sz w:val="22"/>
              </w:rPr>
              <w:t>$1,069.0M</w:t>
            </w:r>
          </w:p>
        </w:tc>
        <w:tc>
          <w:tcPr>
            <w:tcW w:type="dxa" w:w="1080"/>
          </w:tcPr>
          <w:p>
            <w:r>
              <w:rPr>
                <w:rFonts w:ascii="Calibri" w:hAnsi="Calibri"/>
                <w:sz w:val="22"/>
              </w:rPr>
              <w:t>$1,070.1M</w:t>
            </w:r>
          </w:p>
        </w:tc>
        <w:tc>
          <w:tcPr>
            <w:tcW w:type="dxa" w:w="1080"/>
          </w:tcPr>
          <w:p>
            <w:r>
              <w:rPr>
                <w:rFonts w:ascii="Calibri" w:hAnsi="Calibri"/>
                <w:sz w:val="22"/>
              </w:rPr>
              <w:t>+0.1%</w:t>
            </w:r>
          </w:p>
        </w:tc>
        <w:tc>
          <w:tcPr>
            <w:tcW w:type="dxa" w:w="1080"/>
          </w:tcPr>
          <w:p>
            <w:r>
              <w:rPr>
                <w:rFonts w:ascii="Calibri" w:hAnsi="Calibri"/>
                <w:sz w:val="22"/>
              </w:rPr>
              <w:t>N/A (not guided explicitly)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$4,334.1M</w:t>
            </w:r>
          </w:p>
        </w:tc>
        <w:tc>
          <w:tcPr>
            <w:tcW w:type="dxa" w:w="1080"/>
          </w:tcPr>
          <w:p>
            <w:r>
              <w:rPr>
                <w:rFonts w:ascii="Calibri" w:hAnsi="Calibri"/>
                <w:sz w:val="22"/>
              </w:rPr>
              <w:t>$4,338.2M</w:t>
            </w:r>
          </w:p>
        </w:tc>
        <w:tc>
          <w:tcPr>
            <w:tcW w:type="dxa" w:w="1080"/>
          </w:tcPr>
          <w:p>
            <w:r>
              <w:rPr>
                <w:rFonts w:ascii="Calibri" w:hAnsi="Calibri"/>
                <w:sz w:val="22"/>
              </w:rPr>
              <w:t>+0.1%</w:t>
            </w:r>
          </w:p>
        </w:tc>
        <w:tc>
          <w:tcPr>
            <w:tcW w:type="dxa" w:w="1080"/>
          </w:tcPr>
          <w:p>
            <w:r>
              <w:rPr>
                <w:rFonts w:ascii="Calibri" w:hAnsi="Calibri"/>
                <w:sz w:val="22"/>
              </w:rPr>
              <w:t>~$4.3B</w:t>
            </w:r>
          </w:p>
        </w:tc>
        <w:tc>
          <w:tcPr>
            <w:tcW w:type="dxa" w:w="1080"/>
          </w:tcPr>
          <w:p>
            <w:r>
              <w:rPr>
                <w:rFonts w:ascii="Calibri" w:hAnsi="Calibri"/>
                <w:sz w:val="22"/>
              </w:rPr>
              <w:t>~$4.3B</w:t>
            </w:r>
          </w:p>
        </w:tc>
        <w:tc>
          <w:tcPr>
            <w:tcW w:type="dxa" w:w="1080"/>
          </w:tcPr>
          <w:p>
            <w:r>
              <w:rPr>
                <w:rFonts w:ascii="Calibri" w:hAnsi="Calibri"/>
                <w:sz w:val="22"/>
              </w:rPr>
              <w:t>Unchanged</w:t>
            </w:r>
          </w:p>
        </w:tc>
        <w:tc>
          <w:tcPr>
            <w:tcW w:type="dxa" w:w="1080"/>
          </w:tcPr>
          <w:p>
            <w:r>
              <w:rPr>
                <w:rFonts w:ascii="Calibri" w:hAnsi="Calibri"/>
                <w:sz w:val="22"/>
              </w:rPr>
              <w:t>In line</w:t>
            </w:r>
          </w:p>
        </w:tc>
      </w:tr>
      <w:tr>
        <w:tc>
          <w:tcPr>
            <w:tcW w:type="dxa" w:w="1080"/>
          </w:tcPr>
          <w:p>
            <w:r>
              <w:rPr>
                <w:rFonts w:ascii="Calibri" w:hAnsi="Calibri"/>
                <w:sz w:val="22"/>
              </w:rPr>
              <w:t>Adj. EPS — Q2 2026</w:t>
            </w:r>
          </w:p>
        </w:tc>
        <w:tc>
          <w:tcPr>
            <w:tcW w:type="dxa" w:w="1080"/>
          </w:tcPr>
          <w:p>
            <w:r>
              <w:rPr>
                <w:rFonts w:ascii="Calibri" w:hAnsi="Calibri"/>
                <w:sz w:val="22"/>
              </w:rPr>
              <w:t>$0.707</w:t>
            </w:r>
          </w:p>
        </w:tc>
        <w:tc>
          <w:tcPr>
            <w:tcW w:type="dxa" w:w="1080"/>
          </w:tcPr>
          <w:p>
            <w:r>
              <w:rPr>
                <w:rFonts w:ascii="Calibri" w:hAnsi="Calibri"/>
                <w:sz w:val="22"/>
              </w:rPr>
              <w:t>$0.708</w:t>
            </w:r>
          </w:p>
        </w:tc>
        <w:tc>
          <w:tcPr>
            <w:tcW w:type="dxa" w:w="1080"/>
          </w:tcPr>
          <w:p>
            <w:r>
              <w:rPr>
                <w:rFonts w:ascii="Calibri" w:hAnsi="Calibri"/>
                <w:sz w:val="22"/>
              </w:rPr>
              <w:t>+0.1%</w:t>
            </w:r>
          </w:p>
        </w:tc>
        <w:tc>
          <w:tcPr>
            <w:tcW w:type="dxa" w:w="1080"/>
          </w:tcPr>
          <w:p>
            <w:r>
              <w:rPr>
                <w:rFonts w:ascii="Calibri" w:hAnsi="Calibri"/>
                <w:sz w:val="22"/>
              </w:rPr>
              <w:t>~$0.70 ('broadly similar to Q1')</w:t>
            </w:r>
          </w:p>
        </w:tc>
        <w:tc>
          <w:tcPr>
            <w:tcW w:type="dxa" w:w="1080"/>
          </w:tcPr>
          <w:p>
            <w:r>
              <w:rPr>
                <w:rFonts w:ascii="Calibri" w:hAnsi="Calibri"/>
                <w:sz w:val="22"/>
              </w:rPr>
              <w:t>~$0.70</w:t>
            </w:r>
          </w:p>
        </w:tc>
        <w:tc>
          <w:tcPr>
            <w:tcW w:type="dxa" w:w="1080"/>
          </w:tcPr>
          <w:p>
            <w:r>
              <w:rPr>
                <w:rFonts w:ascii="Calibri" w:hAnsi="Calibri"/>
                <w:sz w:val="22"/>
              </w:rPr>
              <w:t>Unchanged</w:t>
            </w:r>
          </w:p>
        </w:tc>
        <w:tc>
          <w:tcPr>
            <w:tcW w:type="dxa" w:w="1080"/>
          </w:tcPr>
          <w:p>
            <w:r>
              <w:rPr>
                <w:rFonts w:ascii="Calibri" w:hAnsi="Calibri"/>
                <w:sz w:val="22"/>
              </w:rPr>
              <w:t>+1.1% above</w:t>
            </w:r>
          </w:p>
        </w:tc>
      </w:tr>
      <w:tr>
        <w:tc>
          <w:tcPr>
            <w:tcW w:type="dxa" w:w="1080"/>
          </w:tcPr>
          <w:p>
            <w:r>
              <w:rPr>
                <w:rFonts w:ascii="Calibri" w:hAnsi="Calibri"/>
                <w:sz w:val="22"/>
              </w:rPr>
              <w:t>Adj. EPS — FY 2026</w:t>
            </w:r>
          </w:p>
        </w:tc>
        <w:tc>
          <w:tcPr>
            <w:tcW w:type="dxa" w:w="1080"/>
          </w:tcPr>
          <w:p>
            <w:r>
              <w:rPr>
                <w:rFonts w:ascii="Calibri" w:hAnsi="Calibri"/>
                <w:sz w:val="22"/>
              </w:rPr>
              <w:t>$2.992</w:t>
            </w:r>
          </w:p>
        </w:tc>
        <w:tc>
          <w:tcPr>
            <w:tcW w:type="dxa" w:w="1080"/>
          </w:tcPr>
          <w:p>
            <w:r>
              <w:rPr>
                <w:rFonts w:ascii="Calibri" w:hAnsi="Calibri"/>
                <w:sz w:val="22"/>
              </w:rPr>
              <w:t>$2.999</w:t>
            </w:r>
          </w:p>
        </w:tc>
        <w:tc>
          <w:tcPr>
            <w:tcW w:type="dxa" w:w="1080"/>
          </w:tcPr>
          <w:p>
            <w:r>
              <w:rPr>
                <w:rFonts w:ascii="Calibri" w:hAnsi="Calibri"/>
                <w:sz w:val="22"/>
              </w:rPr>
              <w:t>+0.2%</w:t>
            </w:r>
          </w:p>
        </w:tc>
        <w:tc>
          <w:tcPr>
            <w:tcW w:type="dxa" w:w="1080"/>
          </w:tcPr>
          <w:p>
            <w:r>
              <w:rPr>
                <w:rFonts w:ascii="Calibri" w:hAnsi="Calibri"/>
                <w:sz w:val="22"/>
              </w:rPr>
              <w:t>$2.90–$3.00</w:t>
            </w:r>
          </w:p>
        </w:tc>
        <w:tc>
          <w:tcPr>
            <w:tcW w:type="dxa" w:w="1080"/>
          </w:tcPr>
          <w:p>
            <w:r>
              <w:rPr>
                <w:rFonts w:ascii="Calibri" w:hAnsi="Calibri"/>
                <w:sz w:val="22"/>
              </w:rPr>
              <w:t>$2.90–$3.00</w:t>
            </w:r>
          </w:p>
        </w:tc>
        <w:tc>
          <w:tcPr>
            <w:tcW w:type="dxa" w:w="1080"/>
          </w:tcPr>
          <w:p>
            <w:r>
              <w:rPr>
                <w:rFonts w:ascii="Calibri" w:hAnsi="Calibri"/>
                <w:sz w:val="22"/>
              </w:rPr>
              <w:t>Unchanged</w:t>
            </w:r>
          </w:p>
        </w:tc>
        <w:tc>
          <w:tcPr>
            <w:tcW w:type="dxa" w:w="1080"/>
          </w:tcPr>
          <w:p>
            <w:r>
              <w:rPr>
                <w:rFonts w:ascii="Calibri" w:hAnsi="Calibri"/>
                <w:sz w:val="22"/>
              </w:rPr>
              <w:t>At top of range</w:t>
            </w:r>
          </w:p>
        </w:tc>
      </w:tr>
      <w:tr>
        <w:tc>
          <w:tcPr>
            <w:tcW w:type="dxa" w:w="1080"/>
          </w:tcPr>
          <w:p>
            <w:r>
              <w:rPr>
                <w:rFonts w:ascii="Calibri" w:hAnsi="Calibri"/>
                <w:sz w:val="22"/>
              </w:rPr>
              <w:t>Core Organic Growth — Q2 2026</w:t>
            </w:r>
          </w:p>
        </w:tc>
        <w:tc>
          <w:tcPr>
            <w:tcW w:type="dxa" w:w="1080"/>
          </w:tcPr>
          <w:p>
            <w:r>
              <w:rPr>
                <w:rFonts w:ascii="Calibri" w:hAnsi="Calibri"/>
                <w:sz w:val="22"/>
              </w:rPr>
              <w:t>3.7%</w:t>
            </w:r>
          </w:p>
        </w:tc>
        <w:tc>
          <w:tcPr>
            <w:tcW w:type="dxa" w:w="1080"/>
          </w:tcPr>
          <w:p>
            <w:r>
              <w:rPr>
                <w:rFonts w:ascii="Calibri" w:hAnsi="Calibri"/>
                <w:sz w:val="22"/>
              </w:rPr>
              <w:t>3.8%</w:t>
            </w:r>
          </w:p>
        </w:tc>
        <w:tc>
          <w:tcPr>
            <w:tcW w:type="dxa" w:w="1080"/>
          </w:tcPr>
          <w:p>
            <w:r>
              <w:rPr>
                <w:rFonts w:ascii="Calibri" w:hAnsi="Calibri"/>
                <w:sz w:val="22"/>
              </w:rPr>
              <w:t>+10bps</w:t>
            </w:r>
          </w:p>
        </w:tc>
        <w:tc>
          <w:tcPr>
            <w:tcW w:type="dxa" w:w="1080"/>
          </w:tcPr>
          <w:p>
            <w:r>
              <w:rPr>
                <w:rFonts w:ascii="Calibri" w:hAnsi="Calibri"/>
                <w:sz w:val="22"/>
              </w:rPr>
              <w:t>Mid-single digit</w:t>
            </w:r>
          </w:p>
        </w:tc>
        <w:tc>
          <w:tcPr>
            <w:tcW w:type="dxa" w:w="1080"/>
          </w:tcPr>
          <w:p>
            <w:r>
              <w:rPr>
                <w:rFonts w:ascii="Calibri" w:hAnsi="Calibri"/>
                <w:sz w:val="22"/>
              </w:rPr>
              <w:t>Mid-single digit</w:t>
            </w:r>
          </w:p>
        </w:tc>
        <w:tc>
          <w:tcPr>
            <w:tcW w:type="dxa" w:w="1080"/>
          </w:tcPr>
          <w:p>
            <w:r>
              <w:rPr>
                <w:rFonts w:ascii="Calibri" w:hAnsi="Calibri"/>
                <w:sz w:val="22"/>
              </w:rPr>
              <w:t>Unchanged</w:t>
            </w:r>
          </w:p>
        </w:tc>
        <w:tc>
          <w:tcPr>
            <w:tcW w:type="dxa" w:w="1080"/>
          </w:tcPr>
          <w:p>
            <w:r>
              <w:rPr>
                <w:rFonts w:ascii="Calibri" w:hAnsi="Calibri"/>
                <w:sz w:val="22"/>
              </w:rPr>
              <w:t>Below midpoint</w:t>
            </w:r>
          </w:p>
        </w:tc>
      </w:tr>
      <w:tr>
        <w:tc>
          <w:tcPr>
            <w:tcW w:type="dxa" w:w="1080"/>
          </w:tcPr>
          <w:p>
            <w:r>
              <w:rPr>
                <w:rFonts w:ascii="Calibri" w:hAnsi="Calibri"/>
                <w:sz w:val="22"/>
              </w:rPr>
              <w:t>Core Organic Growth — FY 2026</w:t>
            </w:r>
          </w:p>
        </w:tc>
        <w:tc>
          <w:tcPr>
            <w:tcW w:type="dxa" w:w="1080"/>
          </w:tcPr>
          <w:p>
            <w:r>
              <w:rPr>
                <w:rFonts w:ascii="Calibri" w:hAnsi="Calibri"/>
                <w:sz w:val="22"/>
              </w:rPr>
              <w:t>2.9%</w:t>
            </w:r>
          </w:p>
        </w:tc>
        <w:tc>
          <w:tcPr>
            <w:tcW w:type="dxa" w:w="1080"/>
          </w:tcPr>
          <w:p>
            <w:r>
              <w:rPr>
                <w:rFonts w:ascii="Calibri" w:hAnsi="Calibri"/>
                <w:sz w:val="22"/>
              </w:rPr>
              <w:t>3.0%</w:t>
            </w:r>
          </w:p>
        </w:tc>
        <w:tc>
          <w:tcPr>
            <w:tcW w:type="dxa" w:w="1080"/>
          </w:tcPr>
          <w:p>
            <w:r>
              <w:rPr>
                <w:rFonts w:ascii="Calibri" w:hAnsi="Calibri"/>
                <w:sz w:val="22"/>
              </w:rPr>
              <w:t>+10bps</w:t>
            </w:r>
          </w:p>
        </w:tc>
        <w:tc>
          <w:tcPr>
            <w:tcW w:type="dxa" w:w="1080"/>
          </w:tcPr>
          <w:p>
            <w:r>
              <w:rPr>
                <w:rFonts w:ascii="Calibri" w:hAnsi="Calibri"/>
                <w:sz w:val="22"/>
              </w:rPr>
              <w:t>2%–3%</w:t>
            </w:r>
          </w:p>
        </w:tc>
        <w:tc>
          <w:tcPr>
            <w:tcW w:type="dxa" w:w="1080"/>
          </w:tcPr>
          <w:p>
            <w:r>
              <w:rPr>
                <w:rFonts w:ascii="Calibri" w:hAnsi="Calibri"/>
                <w:sz w:val="22"/>
              </w:rPr>
              <w:t>2%–3%</w:t>
            </w:r>
          </w:p>
        </w:tc>
        <w:tc>
          <w:tcPr>
            <w:tcW w:type="dxa" w:w="1080"/>
          </w:tcPr>
          <w:p>
            <w:r>
              <w:rPr>
                <w:rFonts w:ascii="Calibri" w:hAnsi="Calibri"/>
                <w:sz w:val="22"/>
              </w:rPr>
              <w:t>Unchanged</w:t>
            </w:r>
          </w:p>
        </w:tc>
        <w:tc>
          <w:tcPr>
            <w:tcW w:type="dxa" w:w="1080"/>
          </w:tcPr>
          <w:p>
            <w:r>
              <w:rPr>
                <w:rFonts w:ascii="Calibri" w:hAnsi="Calibri"/>
                <w:sz w:val="22"/>
              </w:rPr>
              <w:t>At top of range</w:t>
            </w:r>
          </w:p>
        </w:tc>
      </w:tr>
    </w:tbl>
    <w:p>
      <w:r>
        <w:rPr>
          <w:rFonts w:ascii="Calibri" w:hAnsi="Calibri"/>
          <w:color w:val="525866"/>
          <w:sz w:val="22"/>
        </w:rPr>
        <w:t>Estimates have been remarkably stable post-Q1 earnings, with only marginal upward drift of ~10–20bps across key metrics. This stability reflects management's deliberate conservatism in not raising guidance despite signaling upper-half trajectory. The Street appears to be pricing in the upper end of guidance already, meaning a formal raise would be needed to drive meaningful estimate revisions.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FTV has outperformed SPY (+7.2% vs. +3.1%) since Q1 earnings but roughly tracked XLI (+4.5%) — suggesting the stock is </w:t>
      </w:r>
      <w:r>
        <w:rPr>
          <w:rFonts w:ascii="Calibri" w:hAnsi="Calibri"/>
          <w:b/>
          <w:color w:val="525866"/>
          <w:sz w:val="22"/>
        </w:rPr>
        <w:t>not yet receiving a premium re-rating</w:t>
      </w:r>
      <w:r>
        <w:rPr>
          <w:rFonts w:ascii="Calibri" w:hAnsi="Calibri"/>
          <w:color w:val="525866"/>
          <w:sz w:val="22"/>
        </w:rPr>
        <w:t xml:space="preserve"> for its growth acceleration story, with the market waiting for sustained execution proof.</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FTV vs. XLI (Industrials ETF) vs. S&amp;P 500 (SPY) — Indexed to 100 at Q1 2026 Earnings (Apr 30, 2026). Source: Yahoo Finance.</w:t>
      </w:r>
    </w:p>
    <w:p>
      <w:r>
        <w:rPr>
          <w:rFonts w:ascii="Calibri" w:hAnsi="Calibri"/>
          <w:color w:val="525866"/>
          <w:sz w:val="22"/>
        </w:rPr>
        <w:t xml:space="preserve">Since Q1 2026 earnings on April 30, FTV has risen </w:t>
      </w:r>
      <w:r>
        <w:rPr>
          <w:rFonts w:ascii="Calibri" w:hAnsi="Calibri"/>
          <w:b/>
          <w:color w:val="525866"/>
          <w:sz w:val="22"/>
        </w:rPr>
        <w:t>+7.2%</w:t>
      </w:r>
      <w:r>
        <w:rPr>
          <w:rFonts w:ascii="Calibri" w:hAnsi="Calibri"/>
          <w:color w:val="525866"/>
          <w:sz w:val="22"/>
        </w:rPr>
        <w:t xml:space="preserve"> (from $59.79 to $64.09 as of July 28, 2026), outpacing SPY (+3.1%) but roughly in line with XLI (+4.5%). The stock initially sold off on earnings day despite the beat — consistent with the pattern of management reaffirming rather than raising guidance — before recovering through May and June. The stock has been range-bound in the $60–$63 zone for most of the post-earnings period, suggesting the market is waiting for sustained execution proof before re-rating. The sector ETF (XLI) has been a stronger performer, indicating FTV is not yet capturing a premium for its Fortive Accelerated strategy. The $1.1B notes offering in May (refinancing near-term maturities) was a non-event for the stock. Valuation remains compressed relative to business quality, consistent with the company's own characterization. The Wolfe Conference on May 19 (where management confirmed April strength) did not produce a sustained re-rating, though the stock did recover from its May lows in the weeks following.</w:t>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 xml:space="preserve">The most material post-Q1 development is management's </w:t>
      </w:r>
      <w:r>
        <w:rPr>
          <w:rFonts w:ascii="Calibri" w:hAnsi="Calibri"/>
          <w:b/>
          <w:color w:val="525866"/>
          <w:sz w:val="22"/>
        </w:rPr>
        <w:t>May 19 Wolfe Conference confirmation</w:t>
      </w:r>
      <w:r>
        <w:rPr>
          <w:rFonts w:ascii="Calibri" w:hAnsi="Calibri"/>
          <w:color w:val="525866"/>
          <w:sz w:val="22"/>
        </w:rPr>
        <w:t xml:space="preserve"> that April trends were strong and the company remains on track — providing an intra-quarter data point that reduces downside risk heading into Q2 earnings.</w:t>
      </w:r>
    </w:p>
    <w:p>
      <w:pPr>
        <w:pStyle w:val="ListBullet"/>
        <w:ind w:left="360" w:hanging="360"/>
      </w:pPr>
      <w:r>
        <w:rPr>
          <w:rFonts w:ascii="Calibri" w:hAnsi="Calibri"/>
          <w:b/>
          <w:color w:val="525866"/>
          <w:sz w:val="22"/>
        </w:rPr>
        <w:t>May 19, 2026 — Wolfe Research Conference:</w:t>
      </w:r>
      <w:r>
        <w:rPr>
          <w:rFonts w:ascii="Calibri" w:hAnsi="Calibri"/>
          <w:color w:val="525866"/>
          <w:sz w:val="22"/>
        </w:rPr>
        <w:t xml:space="preserve"> CEO Soroye confirmed April came in 'strong' and 'nicely aligned with expectations,' and the company remains 'firmly on track' with Q1 guidance. Noted the 'true line of acceleration continues' despite the selling-days normalization in Q2. </w:t>
      </w:r>
      <w:r>
        <w:rPr>
          <w:rFonts w:ascii="Calibri" w:hAnsi="Calibri"/>
          <w:i/>
          <w:color w:val="525866"/>
          <w:sz w:val="22"/>
        </w:rPr>
        <w:t>Implication:</w:t>
      </w:r>
      <w:r>
        <w:rPr>
          <w:rFonts w:ascii="Calibri" w:hAnsi="Calibri"/>
          <w:color w:val="525866"/>
          <w:sz w:val="22"/>
        </w:rPr>
        <w:t xml:space="preserve"> Reduces downside risk; April data point is a positive read-through for Q2.</w:t>
      </w:r>
    </w:p>
    <w:p>
      <w:pPr>
        <w:pStyle w:val="ListBullet"/>
        <w:ind w:left="360" w:hanging="360"/>
      </w:pPr>
      <w:r>
        <w:rPr>
          <w:rFonts w:ascii="Calibri" w:hAnsi="Calibri"/>
          <w:b/>
          <w:color w:val="525866"/>
          <w:sz w:val="22"/>
        </w:rPr>
        <w:t>May 14, 2026 — $1.1B Notes Offering Completed:</w:t>
      </w:r>
      <w:r>
        <w:rPr>
          <w:rFonts w:ascii="Calibri" w:hAnsi="Calibri"/>
          <w:color w:val="525866"/>
          <w:sz w:val="22"/>
        </w:rPr>
        <w:t xml:space="preserve"> FTV issued $600M of 4.750% notes due 2031 and $500M of 5.250% notes due 2036 to refinance its 3.150% senior notes due June 15, 2026. </w:t>
      </w:r>
      <w:r>
        <w:rPr>
          <w:rFonts w:ascii="Calibri" w:hAnsi="Calibri"/>
          <w:i/>
          <w:color w:val="525866"/>
          <w:sz w:val="22"/>
        </w:rPr>
        <w:t>Implication:</w:t>
      </w:r>
      <w:r>
        <w:rPr>
          <w:rFonts w:ascii="Calibri" w:hAnsi="Calibri"/>
          <w:color w:val="525866"/>
          <w:sz w:val="22"/>
        </w:rPr>
        <w:t xml:space="preserve"> Balance sheet housekeeping; extends maturity profile at modestly higher rates. No impact on near-term earnings.</w:t>
      </w:r>
    </w:p>
    <w:p>
      <w:pPr>
        <w:pStyle w:val="ListBullet"/>
        <w:ind w:left="360" w:hanging="360"/>
      </w:pPr>
      <w:r>
        <w:rPr>
          <w:rFonts w:ascii="Calibri" w:hAnsi="Calibri"/>
          <w:b/>
          <w:color w:val="525866"/>
          <w:sz w:val="22"/>
        </w:rPr>
        <w:t>May 4–6, 2026 — SVP/Chief Legal Officer Open Market Sale:</w:t>
      </w:r>
      <w:r>
        <w:rPr>
          <w:rFonts w:ascii="Calibri" w:hAnsi="Calibri"/>
          <w:color w:val="525866"/>
          <w:sz w:val="22"/>
        </w:rPr>
        <w:t xml:space="preserve"> Peter Underwood sold 47,557 shares on May 4, 2026 (disclosed May 6). Not under a 10b5-1 plan. </w:t>
      </w:r>
      <w:r>
        <w:rPr>
          <w:rFonts w:ascii="Calibri" w:hAnsi="Calibri"/>
          <w:i/>
          <w:color w:val="525866"/>
          <w:sz w:val="22"/>
        </w:rPr>
        <w:t>Implication:</w:t>
      </w:r>
      <w:r>
        <w:rPr>
          <w:rFonts w:ascii="Calibri" w:hAnsi="Calibri"/>
          <w:color w:val="525866"/>
          <w:sz w:val="22"/>
        </w:rPr>
        <w:t xml:space="preserve"> Discretionary sale by a senior officer shortly after Q1 earnings; worth monitoring but not a strong signal given retained holdings of 87,780 shares.</w:t>
      </w:r>
    </w:p>
    <w:p>
      <w:pPr>
        <w:pStyle w:val="ListBullet"/>
        <w:ind w:left="360" w:hanging="360"/>
      </w:pPr>
      <w:r>
        <w:rPr>
          <w:rFonts w:ascii="Calibri" w:hAnsi="Calibri"/>
          <w:b/>
          <w:color w:val="525866"/>
          <w:sz w:val="22"/>
        </w:rPr>
        <w:t>June 11, 2026 — Annual Meeting:</w:t>
      </w:r>
      <w:r>
        <w:rPr>
          <w:rFonts w:ascii="Calibri" w:hAnsi="Calibri"/>
          <w:color w:val="525866"/>
          <w:sz w:val="22"/>
        </w:rPr>
        <w:t xml:space="preserve"> Shareholders approved all proposals at the annual meeting. Routine governance event; no material impact.</w:t>
      </w:r>
    </w:p>
    <w:p>
      <w:pPr>
        <w:pStyle w:val="ListBullet"/>
        <w:ind w:left="360" w:hanging="360"/>
      </w:pPr>
      <w:r>
        <w:rPr>
          <w:rFonts w:ascii="Calibri" w:hAnsi="Calibri"/>
          <w:b/>
          <w:color w:val="525866"/>
          <w:sz w:val="22"/>
        </w:rPr>
        <w:t>April 30, 2026 — Q1 2026 Earnings:</w:t>
      </w:r>
      <w:r>
        <w:rPr>
          <w:rFonts w:ascii="Calibri" w:hAnsi="Calibri"/>
          <w:color w:val="525866"/>
          <w:sz w:val="22"/>
        </w:rPr>
        <w:t xml:space="preserve"> Beat on revenue (+2.4% vs. consensus) and EPS (+6.5% vs. consensus). Management reaffirmed FY guidance and signaled results trending toward upper half of ranges. Stock opened lower on the day despite the beat. New corporate development hire (Corbin Walburger) announced to lead M&amp;A globally.</w:t>
      </w:r>
    </w:p>
    <w:p>
      <w:r>
        <w:br w:type="page"/>
      </w:r>
    </w:p>
    <w:p>
      <w:pPr>
        <w:pStyle w:val="Heading2"/>
      </w:pPr>
      <w:r>
        <w:rPr>
          <w:rFonts w:ascii="Calibri" w:hAnsi="Calibri"/>
          <w:b/>
          <w:color w:val="3B4259"/>
          <w:sz w:val="28"/>
        </w:rPr>
        <w:t>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from Q2 2026 earnings calls and post-Q1 conferences is </w:t>
      </w:r>
      <w:r>
        <w:rPr>
          <w:rFonts w:ascii="Calibri" w:hAnsi="Calibri"/>
          <w:b/>
          <w:color w:val="525866"/>
          <w:sz w:val="22"/>
        </w:rPr>
        <w:t>broadly constructive</w:t>
      </w:r>
      <w:r>
        <w:rPr>
          <w:rFonts w:ascii="Calibri" w:hAnsi="Calibri"/>
          <w:color w:val="525866"/>
          <w:sz w:val="22"/>
        </w:rPr>
        <w:t xml:space="preserve"> for FTV — industrial demand remains resilient in North America, data center investment is accelerating, and healthcare capital spending is stabilizing. The key risk is Europe/China softness, which peers flagged but FTV has limited exposure to.</w:t>
      </w:r>
    </w:p>
    <w:p>
      <w:r>
        <w:rPr>
          <w:rFonts w:ascii="Calibri" w:hAnsi="Calibri"/>
          <w:b/>
          <w:color w:val="525866"/>
          <w:sz w:val="22"/>
        </w:rPr>
        <w:t xml:space="preserve">Note: </w:t>
      </w:r>
      <w:r>
        <w:rPr>
          <w:rFonts w:ascii="Calibri" w:hAnsi="Calibri"/>
          <w:i/>
          <w:color w:val="525866"/>
          <w:sz w:val="22"/>
        </w:rPr>
        <w:t>All peer commentary below is from Q2 2026 earnings calls or post-Q1 2026 conferences (May–July 2026), focused on themes directly relevant to FTV's current reporting quarter.</w:t>
      </w:r>
    </w:p>
    <w:p>
      <w:pPr>
        <w:pStyle w:val="Heading3"/>
      </w:pPr>
      <w:r>
        <w:rPr>
          <w:rFonts w:ascii="Calibri" w:hAnsi="Calibri"/>
          <w:b/>
          <w:color w:val="3B4259"/>
          <w:sz w:val="24"/>
        </w:rPr>
        <w:t>Honeywell Technologies (HON) — Q2 2026 Earnings (July 23, 2026)</w:t>
      </w:r>
    </w:p>
    <w:p>
      <w:pPr>
        <w:pStyle w:val="ListBullet"/>
        <w:ind w:left="360" w:hanging="360"/>
      </w:pPr>
      <w:r>
        <w:rPr>
          <w:rFonts w:ascii="Calibri" w:hAnsi="Calibri"/>
          <w:b/>
          <w:color w:val="30A46C"/>
          <w:sz w:val="22"/>
        </w:rPr>
        <w:t>POSITIVE READ-THROUGH — Industrial demand:</w:t>
      </w:r>
      <w:r>
        <w:rPr>
          <w:rFonts w:ascii="Calibri" w:hAnsi="Calibri"/>
          <w:color w:val="525866"/>
          <w:sz w:val="22"/>
        </w:rPr>
        <w:t xml:space="preserve"> HON delivered 4% organic sales growth in Q2 2026, with orders growing 16% organically and broad-based demand across all segments. Short-cycle orders grew double-digit across all segments. Sensing and industrial measurement orders were up over 20%. Directly relevant to FTV's Fluke and Industrial Scientific businesses, which serve similar short-cycle industrial end markets.</w:t>
      </w:r>
    </w:p>
    <w:p>
      <w:pPr>
        <w:pStyle w:val="ListBullet"/>
        <w:ind w:left="360" w:hanging="360"/>
      </w:pPr>
      <w:r>
        <w:rPr>
          <w:rFonts w:ascii="Calibri" w:hAnsi="Calibri"/>
          <w:b/>
          <w:color w:val="30A46C"/>
          <w:sz w:val="22"/>
        </w:rPr>
        <w:t>POSITIVE READ-THROUGH — Building automation/software:</w:t>
      </w:r>
      <w:r>
        <w:rPr>
          <w:rFonts w:ascii="Calibri" w:hAnsi="Calibri"/>
          <w:color w:val="525866"/>
          <w:sz w:val="22"/>
        </w:rPr>
        <w:t xml:space="preserve"> HON's building automation delivered 9% organic growth in Q2, driven by double-digit growth in products and strength in healthcare, hospitality, and data centers. ARR from software expected to grow ~15% for 2026. Relevant to FTV's Facility and Asset Lifecycle (FAL) software businesses.</w:t>
      </w:r>
    </w:p>
    <w:p>
      <w:pPr>
        <w:pStyle w:val="ListBullet"/>
        <w:ind w:left="360" w:hanging="360"/>
      </w:pPr>
      <w:r>
        <w:rPr>
          <w:rFonts w:ascii="Calibri" w:hAnsi="Calibri"/>
          <w:b/>
          <w:color w:val="30A46C"/>
          <w:sz w:val="22"/>
        </w:rPr>
        <w:t>POSITIVE READ-THROUGH — Data centers:</w:t>
      </w:r>
      <w:r>
        <w:rPr>
          <w:rFonts w:ascii="Calibri" w:hAnsi="Calibri"/>
          <w:color w:val="525866"/>
          <w:sz w:val="22"/>
        </w:rPr>
        <w:t xml:space="preserve"> HON noted data centers grew from ~4% of building automation sales in 2025 to 'well above 5%' in 2026. Strong demand for fire detection, building management systems, and sensing in data centers. Directly relevant to FTV's Fluke CertiFiber Max data center testing product.</w:t>
      </w:r>
    </w:p>
    <w:p>
      <w:pPr>
        <w:pStyle w:val="ListBullet"/>
        <w:ind w:left="360" w:hanging="360"/>
      </w:pPr>
      <w:r>
        <w:rPr>
          <w:rFonts w:ascii="Calibri" w:hAnsi="Calibri"/>
          <w:b/>
          <w:color w:val="525866"/>
          <w:sz w:val="22"/>
        </w:rPr>
        <w:t>MIXED — Europe/China:</w:t>
      </w:r>
      <w:r>
        <w:rPr>
          <w:rFonts w:ascii="Calibri" w:hAnsi="Calibri"/>
          <w:color w:val="525866"/>
          <w:sz w:val="22"/>
        </w:rPr>
        <w:t xml:space="preserve"> HON noted Europe demand 'remains stable but soft' and China started the year 'slower than expected.' FTV has limited China exposure and has noted Europe improving sequentially, so this is less of a concern for FTV.</w:t>
      </w:r>
    </w:p>
    <w:p>
      <w:pPr>
        <w:pStyle w:val="ListBullet"/>
        <w:ind w:left="360" w:hanging="360"/>
      </w:pPr>
      <w:r>
        <w:rPr>
          <w:rFonts w:ascii="Calibri" w:hAnsi="Calibri"/>
          <w:color w:val="525866"/>
          <w:sz w:val="22"/>
        </w:rPr>
        <w:t>HON raised full-year organic growth guidance to 3%–4% (from 2%–3%) and raised EPS midpoint to $8.20.</w:t>
      </w:r>
    </w:p>
    <w:p>
      <w:pPr>
        <w:pStyle w:val="Heading3"/>
      </w:pPr>
      <w:r>
        <w:rPr>
          <w:rFonts w:ascii="Calibri" w:hAnsi="Calibri"/>
          <w:b/>
          <w:color w:val="3B4259"/>
          <w:sz w:val="24"/>
        </w:rPr>
        <w:t>Emerson Electric (EMR) — Q2 2026 Earnings (May 5, 2026)</w:t>
      </w:r>
    </w:p>
    <w:p>
      <w:pPr>
        <w:pStyle w:val="ListBullet"/>
        <w:ind w:left="360" w:hanging="360"/>
      </w:pPr>
      <w:r>
        <w:rPr>
          <w:rFonts w:ascii="Calibri" w:hAnsi="Calibri"/>
          <w:b/>
          <w:color w:val="30A46C"/>
          <w:sz w:val="22"/>
        </w:rPr>
        <w:t>POSITIVE READ-THROUGH — Industrial software moats:</w:t>
      </w:r>
      <w:r>
        <w:rPr>
          <w:rFonts w:ascii="Calibri" w:hAnsi="Calibri"/>
          <w:color w:val="525866"/>
          <w:sz w:val="22"/>
        </w:rPr>
        <w:t xml:space="preserve"> EMR highlighted that its industrial software is 'based on decades of deep domain expertise' serving mission-critical applications in highly regulated industries — directly echoing FTV's own software moat narrative around proprietary data and regulatory lock-in. EMR expects ACV growth of '10% plus' in 2026. Validates FTV's software positioning.</w:t>
      </w:r>
    </w:p>
    <w:p>
      <w:pPr>
        <w:pStyle w:val="ListBullet"/>
        <w:ind w:left="360" w:hanging="360"/>
      </w:pPr>
      <w:r>
        <w:rPr>
          <w:rFonts w:ascii="Calibri" w:hAnsi="Calibri"/>
          <w:b/>
          <w:color w:val="30A46C"/>
          <w:sz w:val="22"/>
        </w:rPr>
        <w:t>POSITIVE READ-THROUGH — North America strength:</w:t>
      </w:r>
      <w:r>
        <w:rPr>
          <w:rFonts w:ascii="Calibri" w:hAnsi="Calibri"/>
          <w:color w:val="525866"/>
          <w:sz w:val="22"/>
        </w:rPr>
        <w:t xml:space="preserve"> EMR noted North America and India continue to drive orders performance, with the U.S. up 9% in Q2. Relevant to FTV's North America-heavy revenue base.</w:t>
      </w:r>
    </w:p>
    <w:p>
      <w:pPr>
        <w:pStyle w:val="ListBullet"/>
        <w:ind w:left="360" w:hanging="360"/>
      </w:pPr>
      <w:r>
        <w:rPr>
          <w:rFonts w:ascii="Calibri" w:hAnsi="Calibri"/>
          <w:b/>
          <w:color w:val="30A46C"/>
          <w:sz w:val="22"/>
        </w:rPr>
        <w:t>POSITIVE READ-THROUGH — Test &amp; Measurement:</w:t>
      </w:r>
      <w:r>
        <w:rPr>
          <w:rFonts w:ascii="Calibri" w:hAnsi="Calibri"/>
          <w:color w:val="525866"/>
          <w:sz w:val="22"/>
        </w:rPr>
        <w:t xml:space="preserve"> EMR's Test &amp; Measurement segment (NI) is planned to grow 'low teens' for the full year, up from prior expectations of high single-digit growth. Relevant to FTV's Fluke instrumentation business.</w:t>
      </w:r>
    </w:p>
    <w:p>
      <w:pPr>
        <w:pStyle w:val="ListBullet"/>
        <w:ind w:left="360" w:hanging="360"/>
      </w:pPr>
      <w:r>
        <w:rPr>
          <w:rFonts w:ascii="Calibri" w:hAnsi="Calibri"/>
          <w:b/>
          <w:color w:val="E5484D"/>
          <w:sz w:val="22"/>
        </w:rPr>
        <w:t>NEGATIVE READ-THROUGH — Middle East conflict:</w:t>
      </w:r>
      <w:r>
        <w:rPr>
          <w:rFonts w:ascii="Calibri" w:hAnsi="Calibri"/>
          <w:color w:val="525866"/>
          <w:sz w:val="22"/>
        </w:rPr>
        <w:t xml:space="preserve"> EMR took a 1-point hit to underlying sales from the Middle East conflict. FTV has noted Middle East is only ~2% of revenues and is actually seeing 'strong order growth' there, so this is a limited read-through.</w:t>
      </w:r>
    </w:p>
    <w:p>
      <w:pPr>
        <w:pStyle w:val="ListBullet"/>
        <w:ind w:left="360" w:hanging="360"/>
      </w:pPr>
      <w:r>
        <w:rPr>
          <w:rFonts w:ascii="Calibri" w:hAnsi="Calibri"/>
          <w:color w:val="525866"/>
          <w:sz w:val="22"/>
        </w:rPr>
        <w:t>EMR updated full-year guidance to 4.5% sales growth with 3% underlying growth; raised EPS midpoint.</w:t>
      </w:r>
    </w:p>
    <w:p>
      <w:pPr>
        <w:pStyle w:val="Heading3"/>
      </w:pPr>
      <w:r>
        <w:rPr>
          <w:rFonts w:ascii="Calibri" w:hAnsi="Calibri"/>
          <w:b/>
          <w:color w:val="3B4259"/>
          <w:sz w:val="24"/>
        </w:rPr>
        <w:t>Roper Technologies (ROP) — Q2 2026 Earnings (July 23, 2026)</w:t>
      </w:r>
    </w:p>
    <w:p>
      <w:pPr>
        <w:pStyle w:val="ListBullet"/>
        <w:ind w:left="360" w:hanging="360"/>
      </w:pPr>
      <w:r>
        <w:rPr>
          <w:rFonts w:ascii="Calibri" w:hAnsi="Calibri"/>
          <w:b/>
          <w:color w:val="30A46C"/>
          <w:sz w:val="22"/>
        </w:rPr>
        <w:t>POSITIVE READ-THROUGH — Vertical software resilience:</w:t>
      </w:r>
      <w:r>
        <w:rPr>
          <w:rFonts w:ascii="Calibri" w:hAnsi="Calibri"/>
          <w:color w:val="525866"/>
          <w:sz w:val="22"/>
        </w:rPr>
        <w:t xml:space="preserve"> ROP delivered 5% organic revenue growth in Q2 with enterprise gross retention 'consistently in the mid-90s.' Core software bookings up 'mid-single digit plus' on a TTM basis. Directly validates FTV's recurring software revenue model and retention metrics.</w:t>
      </w:r>
    </w:p>
    <w:p>
      <w:pPr>
        <w:pStyle w:val="ListBullet"/>
        <w:ind w:left="360" w:hanging="360"/>
      </w:pPr>
      <w:r>
        <w:rPr>
          <w:rFonts w:ascii="Calibri" w:hAnsi="Calibri"/>
          <w:b/>
          <w:color w:val="30A46C"/>
          <w:sz w:val="22"/>
        </w:rPr>
        <w:t>POSITIVE READ-THROUGH — AI monetization in vertical software:</w:t>
      </w:r>
      <w:r>
        <w:rPr>
          <w:rFonts w:ascii="Calibri" w:hAnsi="Calibri"/>
          <w:color w:val="525866"/>
          <w:sz w:val="22"/>
        </w:rPr>
        <w:t xml:space="preserve"> ROP discussed AI agentic features driving pricing uplift and customer engagement, with early adoption rates described as 'unheard of in the software landscape.' Validates FTV's AI-enhanced software strategy (Gordian Flash, Provation Mira, FAL AI features).</w:t>
      </w:r>
    </w:p>
    <w:p>
      <w:pPr>
        <w:pStyle w:val="ListBullet"/>
        <w:ind w:left="360" w:hanging="360"/>
      </w:pPr>
      <w:r>
        <w:rPr>
          <w:rFonts w:ascii="Calibri" w:hAnsi="Calibri"/>
          <w:b/>
          <w:color w:val="30A46C"/>
          <w:sz w:val="22"/>
        </w:rPr>
        <w:t>POSITIVE READ-THROUGH — M&amp;A market improving:</w:t>
      </w:r>
      <w:r>
        <w:rPr>
          <w:rFonts w:ascii="Calibri" w:hAnsi="Calibri"/>
          <w:color w:val="525866"/>
          <w:sz w:val="22"/>
        </w:rPr>
        <w:t xml:space="preserve"> ROP expects M&amp;A activity to 'break loose later this year and into 2027,' with sponsor conversations becoming 'real conversations.' Relevant to FTV's bolt-on M&amp;A pipeline and new corporate development hire.</w:t>
      </w:r>
    </w:p>
    <w:p>
      <w:pPr>
        <w:pStyle w:val="ListBullet"/>
        <w:ind w:left="360" w:hanging="360"/>
      </w:pPr>
      <w:r>
        <w:rPr>
          <w:rFonts w:ascii="Calibri" w:hAnsi="Calibri"/>
          <w:color w:val="525866"/>
          <w:sz w:val="22"/>
        </w:rPr>
        <w:t>ROP raised full-year adjusted EPS guidance for the second time to $22.15–$22.30 and increased full-year revenue growth to 'north of 8%.'</w:t>
      </w:r>
    </w:p>
    <w:p>
      <w:pPr>
        <w:pStyle w:val="Heading3"/>
      </w:pPr>
      <w:r>
        <w:rPr>
          <w:rFonts w:ascii="Calibri" w:hAnsi="Calibri"/>
          <w:b/>
          <w:color w:val="3B4259"/>
          <w:sz w:val="24"/>
        </w:rPr>
        <w:t>Keysight Technologies (KEYS) — Q2 FY2026 Earnings (May 19, 2026)</w:t>
      </w:r>
    </w:p>
    <w:p>
      <w:pPr>
        <w:pStyle w:val="ListBullet"/>
        <w:ind w:left="360" w:hanging="360"/>
      </w:pPr>
      <w:r>
        <w:rPr>
          <w:rFonts w:ascii="Calibri" w:hAnsi="Calibri"/>
          <w:b/>
          <w:color w:val="30A46C"/>
          <w:sz w:val="22"/>
        </w:rPr>
        <w:t>POSITIVE READ-THROUGH — Data center/AI testing demand:</w:t>
      </w:r>
      <w:r>
        <w:rPr>
          <w:rFonts w:ascii="Calibri" w:hAnsi="Calibri"/>
          <w:color w:val="525866"/>
          <w:sz w:val="22"/>
        </w:rPr>
        <w:t xml:space="preserve"> KEYS delivered record Q2 results with AI-related business in the $500M–$600M range in H1 FY2026, already surpassing all of 2025. Wireline delivered record orders driven by AI data center expansions. Speed transitions (800G to 1.6T) are accelerating. Directly relevant to FTV's Fluke CertiFiber Max data center testing product and Fluke's data center commercial push.</w:t>
      </w:r>
    </w:p>
    <w:p>
      <w:pPr>
        <w:pStyle w:val="ListBullet"/>
        <w:ind w:left="360" w:hanging="360"/>
      </w:pPr>
      <w:r>
        <w:rPr>
          <w:rFonts w:ascii="Calibri" w:hAnsi="Calibri"/>
          <w:b/>
          <w:color w:val="30A46C"/>
          <w:sz w:val="22"/>
        </w:rPr>
        <w:t>POSITIVE READ-THROUGH — Electronic instrumentation demand:</w:t>
      </w:r>
      <w:r>
        <w:rPr>
          <w:rFonts w:ascii="Calibri" w:hAnsi="Calibri"/>
          <w:color w:val="525866"/>
          <w:sz w:val="22"/>
        </w:rPr>
        <w:t xml:space="preserve"> KEYS's Electronic Industrial Solutions Group (EISG) achieved record orders and revenue, with general electronics showing double-digit order and revenue growth. Semiconductor and automotive/energy also strong. Validates broad instrumentation demand environment for FTV's Fluke.</w:t>
      </w:r>
    </w:p>
    <w:p>
      <w:pPr>
        <w:pStyle w:val="ListBullet"/>
        <w:ind w:left="360" w:hanging="360"/>
      </w:pPr>
      <w:r>
        <w:rPr>
          <w:rFonts w:ascii="Calibri" w:hAnsi="Calibri"/>
          <w:color w:val="525866"/>
          <w:sz w:val="22"/>
        </w:rPr>
        <w:t>KEYS raised full-year revenue growth expectations to 'high 20s percent' for FY2026.</w:t>
      </w:r>
    </w:p>
    <w:p>
      <w:pPr>
        <w:pStyle w:val="Heading3"/>
      </w:pPr>
      <w:r>
        <w:rPr>
          <w:rFonts w:ascii="Calibri" w:hAnsi="Calibri"/>
          <w:b/>
          <w:color w:val="3B4259"/>
          <w:sz w:val="24"/>
        </w:rPr>
        <w:t>STERIS (STE) — Q4 FY2026 Earnings (May 12, 2026)</w:t>
      </w:r>
    </w:p>
    <w:p>
      <w:pPr>
        <w:pStyle w:val="ListBullet"/>
        <w:ind w:left="360" w:hanging="360"/>
      </w:pPr>
      <w:r>
        <w:rPr>
          <w:rFonts w:ascii="Calibri" w:hAnsi="Calibri"/>
          <w:b/>
          <w:color w:val="30A46C"/>
          <w:sz w:val="22"/>
        </w:rPr>
        <w:t>POSITIVE READ-THROUGH — Healthcare procedure volumes:</w:t>
      </w:r>
      <w:r>
        <w:rPr>
          <w:rFonts w:ascii="Calibri" w:hAnsi="Calibri"/>
          <w:color w:val="525866"/>
          <w:sz w:val="22"/>
        </w:rPr>
        <w:t xml:space="preserve"> STE noted U.S. procedure volume continues to grow mid-single digits, a level expected to be consistent in FY2027. Healthcare segment grew 9% as reported and 8% constant currency organic for the full year. Directly relevant to FTV's AHS segment (sterilization, clinical software).</w:t>
      </w:r>
    </w:p>
    <w:p>
      <w:pPr>
        <w:pStyle w:val="ListBullet"/>
        <w:ind w:left="360" w:hanging="360"/>
      </w:pPr>
      <w:r>
        <w:rPr>
          <w:rFonts w:ascii="Calibri" w:hAnsi="Calibri"/>
          <w:b/>
          <w:color w:val="30A46C"/>
          <w:sz w:val="22"/>
        </w:rPr>
        <w:t>POSITIVE READ-THROUGH — Sterilization capital demand stabilizing:</w:t>
      </w:r>
      <w:r>
        <w:rPr>
          <w:rFonts w:ascii="Calibri" w:hAnsi="Calibri"/>
          <w:color w:val="525866"/>
          <w:sz w:val="22"/>
        </w:rPr>
        <w:t xml:space="preserve"> STE noted capital equipment 'grew nicely, up 6% for the year, stabilizing after several years of lumpiness.' Capital equipment backlog ended just under $400M with orders up 2% in Q4. Relevant to FTV's ASP low-temperature sterilization business, which saw 'modest improvement' in Q1 2026.</w:t>
      </w:r>
    </w:p>
    <w:p>
      <w:pPr>
        <w:pStyle w:val="ListBullet"/>
        <w:ind w:left="360" w:hanging="360"/>
      </w:pPr>
      <w:r>
        <w:rPr>
          <w:rFonts w:ascii="Calibri" w:hAnsi="Calibri"/>
          <w:b/>
          <w:color w:val="525866"/>
          <w:sz w:val="22"/>
        </w:rPr>
        <w:t>MIXED — Med-tech inventory management:</w:t>
      </w:r>
      <w:r>
        <w:rPr>
          <w:rFonts w:ascii="Calibri" w:hAnsi="Calibri"/>
          <w:color w:val="525866"/>
          <w:sz w:val="22"/>
        </w:rPr>
        <w:t xml:space="preserve"> STE noted med-tech customers are 'managing inventory levels carefully,' leading to some inventory reduction. This is a modest negative read-through for FTV's AHS consumables, though FTV's sterilization consumables are more procedure-driven than inventory-driven.</w:t>
      </w:r>
    </w:p>
    <w:p>
      <w:pPr>
        <w:pStyle w:val="ListBullet"/>
        <w:ind w:left="360" w:hanging="360"/>
      </w:pPr>
      <w:r>
        <w:rPr>
          <w:rFonts w:ascii="Calibri" w:hAnsi="Calibri"/>
          <w:b/>
          <w:color w:val="30A46C"/>
          <w:sz w:val="22"/>
        </w:rPr>
        <w:t>POSITIVE READ-THROUGH — Life sciences reshoring:</w:t>
      </w:r>
      <w:r>
        <w:rPr>
          <w:rFonts w:ascii="Calibri" w:hAnsi="Calibri"/>
          <w:color w:val="525866"/>
          <w:sz w:val="22"/>
        </w:rPr>
        <w:t xml:space="preserve"> STE noted 'reshoring and new builds on the East Coast and Carolinas' contributing to positive demand in Life Sciences. Relevant to FTV's Industrial Scientific gas detection business serving industrial facilities.</w:t>
      </w:r>
    </w:p>
    <w:p>
      <w:pPr>
        <w:pStyle w:val="ListBullet"/>
        <w:ind w:left="360" w:hanging="360"/>
      </w:pPr>
      <w:r>
        <w:rPr>
          <w:rFonts w:ascii="Calibri" w:hAnsi="Calibri"/>
          <w:color w:val="525866"/>
          <w:sz w:val="22"/>
        </w:rPr>
        <w:t>STE guided FY2027 Healthcare to grow 6%–7% constant currency organic.</w:t>
      </w:r>
    </w:p>
    <w:p>
      <w:pPr>
        <w:pStyle w:val="Heading3"/>
      </w:pPr>
      <w:r>
        <w:rPr>
          <w:rFonts w:ascii="Calibri" w:hAnsi="Calibri"/>
          <w:b/>
          <w:color w:val="3B4259"/>
          <w:sz w:val="24"/>
        </w:rPr>
        <w:t>GE HealthCare (GEHC) — BofA Healthcare Conference (May 12) &amp; Jefferies Healthcare Conference (June 3, 2026)</w:t>
      </w:r>
    </w:p>
    <w:p>
      <w:pPr>
        <w:pStyle w:val="ListBullet"/>
        <w:ind w:left="360" w:hanging="360"/>
      </w:pPr>
      <w:r>
        <w:rPr>
          <w:rFonts w:ascii="Calibri" w:hAnsi="Calibri"/>
          <w:b/>
          <w:color w:val="30A46C"/>
          <w:sz w:val="22"/>
        </w:rPr>
        <w:t>POSITIVE READ-THROUGH — Hospital capital environment:</w:t>
      </w:r>
      <w:r>
        <w:rPr>
          <w:rFonts w:ascii="Calibri" w:hAnsi="Calibri"/>
          <w:color w:val="525866"/>
          <w:sz w:val="22"/>
        </w:rPr>
        <w:t xml:space="preserve"> GEHC noted hospitals are 'very profitable at this moment in time' with 'utilization rates great,' describing a 'good backdrop from a capital standpoint.' Customer surveys described as 'very, very strong.' Directly relevant to FTV's AHS hospital capital equipment demand (low-temperature sterilization capital).</w:t>
      </w:r>
    </w:p>
    <w:p>
      <w:pPr>
        <w:pStyle w:val="ListBullet"/>
        <w:ind w:left="360" w:hanging="360"/>
      </w:pPr>
      <w:r>
        <w:rPr>
          <w:rFonts w:ascii="Calibri" w:hAnsi="Calibri"/>
          <w:b/>
          <w:color w:val="30A46C"/>
          <w:sz w:val="22"/>
        </w:rPr>
        <w:t>POSITIVE READ-THROUGH — Imaging market strength:</w:t>
      </w:r>
      <w:r>
        <w:rPr>
          <w:rFonts w:ascii="Calibri" w:hAnsi="Calibri"/>
          <w:color w:val="525866"/>
          <w:sz w:val="22"/>
        </w:rPr>
        <w:t xml:space="preserve"> GEHC noted 'the imaging market in general continues to be strong.' Orders grew on a 2-year basis at ~5.5–6% compounded. Book-to-bill of 1.07x. Validates the hospital spending recovery narrative that FTV has been citing since Q2 2025.</w:t>
      </w:r>
    </w:p>
    <w:p>
      <w:pPr>
        <w:pStyle w:val="ListBullet"/>
        <w:ind w:left="360" w:hanging="360"/>
      </w:pPr>
      <w:r>
        <w:rPr>
          <w:rFonts w:ascii="Calibri" w:hAnsi="Calibri"/>
          <w:b/>
          <w:color w:val="E5484D"/>
          <w:sz w:val="22"/>
        </w:rPr>
        <w:t>NEGATIVE READ-THROUGH — Inflationary cost pressures:</w:t>
      </w:r>
      <w:r>
        <w:rPr>
          <w:rFonts w:ascii="Calibri" w:hAnsi="Calibri"/>
          <w:color w:val="525866"/>
          <w:sz w:val="22"/>
        </w:rPr>
        <w:t xml:space="preserve"> GEHC flagged $250M in tariff/inflation headwinds (freight, memory chips, rare earth elements from Middle East conflict). FTV has noted tariffs are 'fully countermeasured at the bottom line' and will dissipate through Q3, so this is a limited read-through.</w:t>
      </w:r>
    </w:p>
    <w:p>
      <w:pPr>
        <w:pStyle w:val="ListBullet"/>
        <w:ind w:left="360" w:hanging="360"/>
      </w:pPr>
      <w:r>
        <w:rPr>
          <w:rFonts w:ascii="Calibri" w:hAnsi="Calibri"/>
          <w:color w:val="525866"/>
          <w:sz w:val="22"/>
        </w:rPr>
        <w:t>GEHC guided FY2026 sales growth of 3%–4% and EPS growth of mid-to-high single digits.</w:t>
      </w:r>
    </w:p>
    <w:p>
      <w:pPr>
        <w:pStyle w:val="Heading3"/>
      </w:pPr>
      <w:r>
        <w:rPr>
          <w:rFonts w:ascii="Calibri" w:hAnsi="Calibri"/>
          <w:b/>
          <w:color w:val="3B4259"/>
          <w:sz w:val="24"/>
        </w:rPr>
        <w:t>AMETEK (AME) — Indicor Instrumentation Acquisition Conference Call (May 6, 2026)</w:t>
      </w:r>
    </w:p>
    <w:p>
      <w:pPr>
        <w:pStyle w:val="ListBullet"/>
        <w:ind w:left="360" w:hanging="360"/>
      </w:pPr>
      <w:r>
        <w:rPr>
          <w:rFonts w:ascii="Calibri" w:hAnsi="Calibri"/>
          <w:b/>
          <w:color w:val="30A46C"/>
          <w:sz w:val="22"/>
        </w:rPr>
        <w:t>POSITIVE READ-THROUGH — Instrumentation M&amp;A activity:</w:t>
      </w:r>
      <w:r>
        <w:rPr>
          <w:rFonts w:ascii="Calibri" w:hAnsi="Calibri"/>
          <w:color w:val="525866"/>
          <w:sz w:val="22"/>
        </w:rPr>
        <w:t xml:space="preserve"> AME announced a $5B acquisition of Indicor's instrumentation businesses (Entocore), describing it as 'a compelling and unique opportunity to acquire a portfolio of outstanding industrial technology businesses.' The acquired businesses have historically grown 6–7% organically. Validates the strategic value of differentiated instrumentation businesses — directly relevant to FTV's Fluke and Industrial Scientific positioning.</w:t>
      </w:r>
    </w:p>
    <w:p>
      <w:pPr>
        <w:pStyle w:val="ListBullet"/>
        <w:ind w:left="360" w:hanging="360"/>
      </w:pPr>
      <w:r>
        <w:rPr>
          <w:rFonts w:ascii="Calibri" w:hAnsi="Calibri"/>
          <w:b/>
          <w:color w:val="30A46C"/>
          <w:sz w:val="22"/>
        </w:rPr>
        <w:t>POSITIVE READ-THROUGH — Instrumentation demand resilience:</w:t>
      </w:r>
      <w:r>
        <w:rPr>
          <w:rFonts w:ascii="Calibri" w:hAnsi="Calibri"/>
          <w:color w:val="525866"/>
          <w:sz w:val="22"/>
        </w:rPr>
        <w:t xml:space="preserve"> AME noted 'mission critical products may be delayed in the short term, but they'll eventually be purchased because they're a necessity.' The acquired business has 'very healthy backlogs.' Validates FTV's instrumentation demand durability.</w:t>
      </w:r>
    </w:p>
    <w:p>
      <w:pPr>
        <w:pStyle w:val="ListBullet"/>
        <w:ind w:left="360" w:hanging="360"/>
      </w:pPr>
      <w:r>
        <w:rPr>
          <w:rFonts w:ascii="Calibri" w:hAnsi="Calibri"/>
          <w:b/>
          <w:color w:val="30A46C"/>
          <w:sz w:val="22"/>
        </w:rPr>
        <w:t>POSITIVE READ-THROUGH — Data center/energy transition themes:</w:t>
      </w:r>
      <w:r>
        <w:rPr>
          <w:rFonts w:ascii="Calibri" w:hAnsi="Calibri"/>
          <w:color w:val="525866"/>
          <w:sz w:val="22"/>
        </w:rPr>
        <w:t xml:space="preserve"> AME noted the acquired businesses are 'levered to some of the industrial themes, including an energy transition theme and a bit of a data center power theme.' Validates FTV's data center exposure through Fluke.</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 xml:space="preserve">The only insider transaction since Q1 earnings was a </w:t>
      </w:r>
      <w:r>
        <w:rPr>
          <w:rFonts w:ascii="Calibri" w:hAnsi="Calibri"/>
          <w:b/>
          <w:color w:val="525866"/>
          <w:sz w:val="22"/>
        </w:rPr>
        <w:t>discretionary open-market sale</w:t>
      </w:r>
      <w:r>
        <w:rPr>
          <w:rFonts w:ascii="Calibri" w:hAnsi="Calibri"/>
          <w:color w:val="525866"/>
          <w:sz w:val="22"/>
        </w:rPr>
        <w:t xml:space="preserve"> by the SVP/Chief Legal Officer — not a strong signal, but worth noting as it was not under a 10b5-1 plan. No insider buying has occurred since the Q1 print.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Value</w:t>
            </w:r>
          </w:p>
        </w:tc>
        <w:tc>
          <w:tcPr>
            <w:tcW w:type="dxa" w:w="1234"/>
            <w:shd w:val="clear" w:color="auto" w:fill="3B4259"/>
          </w:tcPr>
          <w:p>
            <w:r>
              <w:rPr>
                <w:rFonts w:ascii="Calibri" w:hAnsi="Calibri"/>
                <w:b/>
                <w:color w:val="FFFFFF"/>
                <w:sz w:val="22"/>
              </w:rPr>
              <w:t>Date (Effective)</w:t>
            </w:r>
          </w:p>
        </w:tc>
        <w:tc>
          <w:tcPr>
            <w:tcW w:type="dxa" w:w="1234"/>
            <w:shd w:val="clear" w:color="auto" w:fill="3B4259"/>
          </w:tcPr>
          <w:p>
            <w:r>
              <w:rPr>
                <w:rFonts w:ascii="Calibri" w:hAnsi="Calibri"/>
                <w:b/>
                <w:color w:val="FFFFFF"/>
                <w:sz w:val="22"/>
              </w:rPr>
              <w:t>Date (Disclosed)</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Peter C. Underwood</w:t>
            </w:r>
          </w:p>
        </w:tc>
        <w:tc>
          <w:tcPr>
            <w:tcW w:type="dxa" w:w="1234"/>
          </w:tcPr>
          <w:p>
            <w:r>
              <w:rPr>
                <w:rFonts w:ascii="Calibri" w:hAnsi="Calibri"/>
                <w:sz w:val="22"/>
              </w:rPr>
              <w:t>SVP — Chief Legal Officer</w:t>
            </w:r>
          </w:p>
        </w:tc>
        <w:tc>
          <w:tcPr>
            <w:tcW w:type="dxa" w:w="1234"/>
          </w:tcPr>
          <w:p>
            <w:r>
              <w:rPr>
                <w:rFonts w:ascii="Calibri" w:hAnsi="Calibri"/>
                <w:sz w:val="22"/>
              </w:rPr>
              <w:t>Open Market Sale</w:t>
            </w:r>
          </w:p>
        </w:tc>
        <w:tc>
          <w:tcPr>
            <w:tcW w:type="dxa" w:w="1234"/>
          </w:tcPr>
          <w:p>
            <w:r>
              <w:rPr>
                <w:rFonts w:ascii="Calibri" w:hAnsi="Calibri"/>
                <w:sz w:val="22"/>
              </w:rPr>
              <w:t>~$2.9M (47,557 shares)</w:t>
            </w:r>
          </w:p>
        </w:tc>
        <w:tc>
          <w:tcPr>
            <w:tcW w:type="dxa" w:w="1234"/>
          </w:tcPr>
          <w:p>
            <w:r>
              <w:rPr>
                <w:rFonts w:ascii="Calibri" w:hAnsi="Calibri"/>
                <w:sz w:val="22"/>
              </w:rPr>
              <w:t>May 4, 2026</w:t>
            </w:r>
          </w:p>
        </w:tc>
        <w:tc>
          <w:tcPr>
            <w:tcW w:type="dxa" w:w="1234"/>
          </w:tcPr>
          <w:p>
            <w:r>
              <w:rPr>
                <w:rFonts w:ascii="Calibri" w:hAnsi="Calibri"/>
                <w:sz w:val="22"/>
              </w:rPr>
              <w:t>May 6, 2026</w:t>
            </w:r>
          </w:p>
        </w:tc>
        <w:tc>
          <w:tcPr>
            <w:tcW w:type="dxa" w:w="1234"/>
          </w:tcPr>
          <w:p>
            <w:r>
              <w:rPr>
                <w:rFonts w:ascii="Calibri" w:hAnsi="Calibri"/>
                <w:sz w:val="22"/>
              </w:rPr>
              <w:t>Discretionary sale (not under 10b5-1 plan); retained 87,780 shares post-transaction</w:t>
            </w:r>
          </w:p>
        </w:tc>
      </w:tr>
    </w:tbl>
    <w:p>
      <w:r>
        <w:rPr>
          <w:rFonts w:ascii="Calibri" w:hAnsi="Calibri"/>
          <w:color w:val="525866"/>
          <w:sz w:val="22"/>
        </w:rPr>
        <w:t xml:space="preserve">Only one insider transaction was disclosed since Q1 2026 earnings. The SVP/Chief Legal Officer sold 47,557 shares on May 4, 2026 (two business days after Q1 earnings), disclosed via Form 4 on May 6, 2026. The sale was </w:t>
      </w:r>
      <w:r>
        <w:rPr>
          <w:rFonts w:ascii="Calibri" w:hAnsi="Calibri"/>
          <w:b/>
          <w:color w:val="525866"/>
          <w:sz w:val="22"/>
        </w:rPr>
        <w:t>not under a 10b5-1 pre-planned trading program</w:t>
      </w:r>
      <w:r>
        <w:rPr>
          <w:rFonts w:ascii="Calibri" w:hAnsi="Calibri"/>
          <w:color w:val="525866"/>
          <w:sz w:val="22"/>
        </w:rPr>
        <w:t>, making it a discretionary transaction. While the sale represents a meaningful dollar amount (~$2.9M), the insider retained 87,780 shares post-transaction, suggesting this is likely a liquidity/diversification event rather than a bearish signal. No open-market purchases have been made by insiders since the Q1 print. The absence of insider buying is neutral — not a negative signal given the stock's modest appreciation since earnings.</w:t>
      </w:r>
    </w:p>
    <w:p>
      <w:r>
        <w:rPr>
          <w:rFonts w:ascii="Calibri" w:hAnsi="Calibri"/>
          <w:i/>
          <w:color w:val="525866"/>
          <w:sz w:val="22"/>
        </w:rPr>
        <w:t>Source: SEC Form 4 filings database.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