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v-earnings-predictions--2026-07-29"/>
    <w:p>
      <w:pPr>
        <w:pStyle w:val="Heading1"/>
      </w:pPr>
      <w:r>
        <w:t xml:space="preserve">FTV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~$1.080B vs. cons $1.070B (VA, 7/28/26)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~$0.716 vs. cons $0.708 (VA, 7/28/26)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IOS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~$742M vs. cons $737M (VA, 7/28/26)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2.90</m:t>
              </m:r>
              <m:r>
                <m:rPr>
                  <m:sty m:val="p"/>
                </m:rPr>
                <m:t>−</m:t>
              </m:r>
            </m:oMath>
            <w:r>
              <w:t xml:space="preserve">3.00 vs. cons $2.999 (VA, 7/28/26); primary-source baseline: FTV Q1 call, 4/30/26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2%-3% vs. cons 2.24% (VA, 7/28/26); primary-source baseline: FTV Q1 call, 4/30/26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 / margin direction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~$0.700 vs. cons $0.707 (VA, 7/28/26); lower back-half margin expansion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range implies lower out-period EPS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2026-07-31T21:34:08Z</dcterms:created>
  <dcterms:modified xsi:type="dcterms:W3CDTF">2026-07-31T21:34:08Z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