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GD before writing the preview. Let me start by pulling recent earnings materials, filings, and news.Let me read the most recent quarter's release and transcript, plus the year-ago Q2 for comparison.Let me get the year-ago Q2 2025 release for comparison and recent stock price + news.Let me pull recent news/consensus context via web search and check for recent 8-K contract awards.Let me compute price performance figures precisely.# General Dynamics (GD) — Q2 2026 Earnings Preview</w:t>
      </w:r>
      <w:r>
        <w:t xml:space="preserve"> </w:t>
      </w:r>
      <w:r>
        <w:rPr>
          <w:b/>
          <w:bCs/>
        </w:rPr>
        <w:t xml:space="preserve">Report date:</w:t>
      </w:r>
      <w:r>
        <w:t xml:space="preserve"> </w:t>
      </w:r>
      <w:r>
        <w:t xml:space="preserve">Wednesday, July 29, 2026 (before market open) ·</w:t>
      </w:r>
      <w:r>
        <w:t xml:space="preserve"> </w:t>
      </w:r>
      <w:r>
        <w:rPr>
          <w:b/>
          <w:bCs/>
        </w:rPr>
        <w:t xml:space="preserve">Event:</w:t>
      </w:r>
      <w:r>
        <w:t xml:space="preserve"> </w:t>
      </w:r>
      <w:r>
        <w:t xml:space="preserve">2026 Q2 Earnings Call, 9:00 a.m. ET</w:t>
      </w:r>
      <w:r>
        <w:t xml:space="preserve"> </w:t>
      </w:r>
      <w:r>
        <w:rPr>
          <w:b/>
          <w:bCs/>
        </w:rPr>
        <w:t xml:space="preserve">Recent price:</w:t>
      </w:r>
      <w:r>
        <w:t xml:space="preserve"> </w:t>
      </w:r>
      <w:r>
        <w:t xml:space="preserve">~$393 (7/28) ·</w:t>
      </w:r>
      <w:r>
        <w:t xml:space="preserve"> </w:t>
      </w:r>
      <w:r>
        <w:rPr>
          <w:b/>
          <w:bCs/>
        </w:rPr>
        <w:t xml:space="preserve">YTD:</w:t>
      </w:r>
      <w:r>
        <w:t xml:space="preserve"> </w:t>
      </w:r>
      <w:r>
        <w:t xml:space="preserve">~+17%</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GD heads into Q2 with strong momentum and a stock that has re-rated. Q1 was a clean beat-and-raise across all four segments, and management took the unusual step of lifting full-year EPS guidance after just one quarter. The shares are up ~17% YTD to fresh highs (~$393 vs. $337 at year-end 2025), roughly in line with RTX (+19%) and LMT (+20%) and well ahead of Northrop (-4%). That means expectations are now elevated — the bar for a "good" print is higher than it was three months ago, and the key questions are less about whether GD executes and more about (1) whether Aerospace margins hold, (2) how fast Marine throughput keeps ramping, and (3) whether the Q1 guidance raise proves conservative.</w:t>
      </w:r>
    </w:p>
    <w:p>
      <w:r>
        <w:pict>
          <v:rect style="width:0;height:1.5pt" o:hralign="center" o:hrstd="t" o:hr="t"/>
        </w:pict>
      </w:r>
    </w:p>
    <w:bookmarkEnd w:id="9"/>
    <w:bookmarkStart w:id="10" w:name="what-management-told-us-to-expect-for-q2"/>
    <w:p>
      <w:pPr>
        <w:pStyle w:val="Heading2"/>
      </w:pPr>
      <w:r>
        <w:t xml:space="preserve">What management told us to expect for Q2</w:t>
      </w:r>
    </w:p>
    <w:p>
      <w:pPr>
        <w:pStyle w:val="FirstParagraph"/>
      </w:pPr>
      <w:r>
        <w:t xml:space="preserve">This is the single most important framing item. On the Q1 call (April 29), management gave explicit shape to the year:</w:t>
      </w:r>
    </w:p>
    <w:p>
      <w:pPr>
        <w:pStyle w:val="Compact"/>
        <w:numPr>
          <w:ilvl w:val="0"/>
          <w:numId w:val="1001"/>
        </w:numPr>
      </w:pPr>
      <w:r>
        <w:rPr>
          <w:b/>
          <w:bCs/>
        </w:rPr>
        <w:t xml:space="preserve">FY26 EPS guidance was raised to</w:t>
      </w:r>
      <w:r>
        <w:rPr>
          <w:b/>
          <w:bCs/>
        </w:rPr>
        <w:t xml:space="preserve"> </w:t>
      </w:r>
      <m:oMath>
        <m:r>
          <m:t>16.45</m:t>
        </m:r>
        <m:r>
          <m:rPr>
            <m:sty m:val="p"/>
          </m:rPr>
          <m:t>–</m:t>
        </m:r>
      </m:oMath>
      <w:r>
        <w:rPr>
          <w:b/>
          <w:bCs/>
        </w:rPr>
        <w:t xml:space="preserve">16.55</w:t>
      </w:r>
      <w:r>
        <w:t xml:space="preserve"> </w:t>
      </w:r>
      <w:r>
        <w:t xml:space="preserve">(from the January range of</w:t>
      </w:r>
      <w:r>
        <w:t xml:space="preserve"> </w:t>
      </w:r>
      <m:oMath>
        <m:r>
          <m:t>16.10</m:t>
        </m:r>
        <m:r>
          <m:rPr>
            <m:sty m:val="p"/>
          </m:rPr>
          <m:t>–</m:t>
        </m:r>
      </m:oMath>
      <w:r>
        <w:t xml:space="preserve">16.20). Q1 came in at</w:t>
      </w:r>
      <w:r>
        <w:t xml:space="preserve"> </w:t>
      </w:r>
      <w:r>
        <w:rPr>
          <w:b/>
          <w:bCs/>
        </w:rPr>
        <w:t xml:space="preserve">$4.10</w:t>
      </w:r>
      <w:r>
        <w:t xml:space="preserve">.</w:t>
      </w:r>
    </w:p>
    <w:p>
      <w:pPr>
        <w:pStyle w:val="Compact"/>
        <w:numPr>
          <w:ilvl w:val="0"/>
          <w:numId w:val="1001"/>
        </w:numPr>
      </w:pPr>
      <w:r>
        <w:t xml:space="preserve">On phasing:</w:t>
      </w:r>
      <w:r>
        <w:t xml:space="preserve"> </w:t>
      </w:r>
      <w:r>
        <w:rPr>
          <w:b/>
          <w:bCs/>
        </w:rPr>
        <w:t xml:space="preserve">Q1 and Q4 are the high points, with Q4 the strongest</w:t>
      </w:r>
      <w:r>
        <w:t xml:space="preserve">;</w:t>
      </w:r>
      <w:r>
        <w:t xml:space="preserve"> </w:t>
      </w:r>
      <w:r>
        <w:rPr>
          <w:b/>
          <w:bCs/>
        </w:rPr>
        <w:t xml:space="preserve">Q2 and Q3 "trailing a bit on expected mix."</w:t>
      </w:r>
      <w:r>
        <w:t xml:space="preserve"> </w:t>
      </w:r>
      <w:r>
        <w:t xml:space="preserve">So a sequential step-down from Q1's $4.10 is expected and should not be read as weakness.</w:t>
      </w:r>
    </w:p>
    <w:p>
      <w:pPr>
        <w:pStyle w:val="Compact"/>
        <w:numPr>
          <w:ilvl w:val="0"/>
          <w:numId w:val="1001"/>
        </w:numPr>
      </w:pPr>
      <w:r>
        <w:t xml:space="preserve">Aerospace specifically:</w:t>
      </w:r>
      <w:r>
        <w:t xml:space="preserve"> </w:t>
      </w:r>
      <w:r>
        <w:rPr>
          <w:b/>
          <w:bCs/>
        </w:rPr>
        <w:t xml:space="preserve">Q2 deliveries "very similar to Q1"</w:t>
      </w:r>
      <w:r>
        <w:t xml:space="preserve"> </w:t>
      </w:r>
      <w:r>
        <w:t xml:space="preserve">(Q1 was 38 units), with Q3/Q4 higher and Q4 the strongest on mix/margin.</w:t>
      </w:r>
    </w:p>
    <w:p>
      <w:pPr>
        <w:pStyle w:val="Compact"/>
        <w:numPr>
          <w:ilvl w:val="0"/>
          <w:numId w:val="1001"/>
        </w:numPr>
      </w:pPr>
      <w:r>
        <w:t xml:space="preserve">Management said it would</w:t>
      </w:r>
      <w:r>
        <w:t xml:space="preserve"> </w:t>
      </w:r>
      <w:r>
        <w:rPr>
          <w:b/>
          <w:bCs/>
        </w:rPr>
        <w:t xml:space="preserve">refresh the full-year forecast in detail and give segment-level color on the July (Q2) call</w:t>
      </w:r>
      <w:r>
        <w:t xml:space="preserve"> </w:t>
      </w:r>
      <w:r>
        <w:t xml:space="preserve">— so expect potential guidance fine-tuning and, given the strong cash start, possible commentary on FCF conversion exceeding 100%.</w:t>
      </w:r>
    </w:p>
    <w:p>
      <w:pPr>
        <w:pStyle w:val="FirstParagraph"/>
      </w:pPr>
      <w:r>
        <w:rPr>
          <w:b/>
          <w:bCs/>
        </w:rPr>
        <w:t xml:space="preserve">Year-ago comparison (Q2 2025):</w:t>
      </w:r>
      <w:r>
        <w:t xml:space="preserve"> </w:t>
      </w:r>
      <w:r>
        <w:t xml:space="preserve">Revenue $13.04B, diluted EPS</w:t>
      </w:r>
      <w:r>
        <w:t xml:space="preserve"> </w:t>
      </w:r>
      <m:oMath>
        <m:r>
          <m:t>3.74</m:t>
        </m:r>
        <m:r>
          <m:rPr>
            <m:sty m:val="p"/>
          </m:rPr>
          <m:t>(</m:t>
        </m:r>
        <m:r>
          <m:rPr>
            <m:sty m:val="p"/>
          </m:rPr>
          <m:t>+</m:t>
        </m:r>
        <m:r>
          <m:t>14.7</m:t>
        </m:r>
      </m:oMath>
      <w:r>
        <w:t xml:space="preserve">4.05–$4.15 range would represent ~8–11% y/y EPS growth while still stepping down sequentially, consistent with the guided cadence.</w:t>
      </w:r>
    </w:p>
    <w:p>
      <w:r>
        <w:pict>
          <v:rect style="width:0;height:1.5pt" o:hralign="center" o:hrstd="t" o:hr="t"/>
        </w:pict>
      </w:r>
    </w:p>
    <w:bookmarkEnd w:id="10"/>
    <w:bookmarkStart w:id="15" w:name="segment-by-segment-watch-list"/>
    <w:p>
      <w:pPr>
        <w:pStyle w:val="Heading2"/>
      </w:pPr>
      <w:r>
        <w:t xml:space="preserve">Segment-by-segment watch list</w:t>
      </w:r>
    </w:p>
    <w:bookmarkStart w:id="11" w:name="Xb6293ba6ca704fe8dab0818d128328e7a73c6e7"/>
    <w:p>
      <w:pPr>
        <w:pStyle w:val="Heading3"/>
      </w:pPr>
      <w:r>
        <w:t xml:space="preserve">Marine Systems — the growth engine to watch most</w:t>
      </w:r>
    </w:p>
    <w:p>
      <w:pPr>
        <w:pStyle w:val="FirstParagraph"/>
      </w:pPr>
      <w:r>
        <w:t xml:space="preserve">This is where the narrative lives. Q1 revenue grew</w:t>
      </w:r>
      <w:r>
        <w:t xml:space="preserve"> </w:t>
      </w:r>
      <w:r>
        <w:rPr>
          <w:b/>
          <w:bCs/>
        </w:rPr>
        <w:t xml:space="preserve">21%</w:t>
      </w:r>
      <w:r>
        <w:t xml:space="preserve"> </w:t>
      </w:r>
      <w:r>
        <w:t xml:space="preserve">with operating earnings up</w:t>
      </w:r>
      <w:r>
        <w:t xml:space="preserve"> </w:t>
      </w:r>
      <w:r>
        <w:rPr>
          <w:b/>
          <w:bCs/>
        </w:rPr>
        <w:t xml:space="preserve">26%</w:t>
      </w:r>
      <w:r>
        <w:t xml:space="preserve"> </w:t>
      </w:r>
      <w:r>
        <w:t xml:space="preserve">and margin improving to 7.3% on "improved productivity across all shipyards." Key proof points to look for again:</w:t>
      </w:r>
    </w:p>
    <w:p>
      <w:pPr>
        <w:pStyle w:val="Compact"/>
        <w:numPr>
          <w:ilvl w:val="0"/>
          <w:numId w:val="1002"/>
        </w:numPr>
      </w:pPr>
      <w:r>
        <w:rPr>
          <w:b/>
          <w:bCs/>
        </w:rPr>
        <w:t xml:space="preserve">Throughput</w:t>
      </w:r>
      <w:r>
        <w:t xml:space="preserve"> </w:t>
      </w:r>
      <w:r>
        <w:t xml:space="preserve">at Electric Boat (Columbia +29% earned hours y/y; sequence-critical material receipts +52% y/y) and progress toward the</w:t>
      </w:r>
      <w:r>
        <w:t xml:space="preserve"> </w:t>
      </w:r>
      <w:r>
        <w:rPr>
          <w:b/>
          <w:bCs/>
        </w:rPr>
        <w:t xml:space="preserve">2 Virginia + 1 Columbia per year</w:t>
      </w:r>
      <w:r>
        <w:t xml:space="preserve"> </w:t>
      </w:r>
      <w:r>
        <w:t xml:space="preserve">cadence.</w:t>
      </w:r>
    </w:p>
    <w:p>
      <w:pPr>
        <w:pStyle w:val="Compact"/>
        <w:numPr>
          <w:ilvl w:val="0"/>
          <w:numId w:val="1002"/>
        </w:numPr>
      </w:pPr>
      <w:r>
        <w:rPr>
          <w:b/>
          <w:bCs/>
        </w:rPr>
        <w:t xml:space="preserve">First Columbia boat</w:t>
      </w:r>
      <w:r>
        <w:t xml:space="preserve"> </w:t>
      </w:r>
      <w:r>
        <w:t xml:space="preserve">integration milestone (targeted by end of 2026, delivery by end of 2028).</w:t>
      </w:r>
    </w:p>
    <w:p>
      <w:pPr>
        <w:pStyle w:val="Compact"/>
        <w:numPr>
          <w:ilvl w:val="0"/>
          <w:numId w:val="1002"/>
        </w:numPr>
      </w:pPr>
      <w:r>
        <w:rPr>
          <w:b/>
          <w:bCs/>
        </w:rPr>
        <w:t xml:space="preserve">CapEx ramp</w:t>
      </w:r>
      <w:r>
        <w:t xml:space="preserve"> </w:t>
      </w:r>
      <w:r>
        <w:t xml:space="preserve">— management guided full-year capex to 3.5–4% of sales (Q1 was only ~1.5%), heavily weighted to shipyards, so investment should accelerate.</w:t>
      </w:r>
    </w:p>
    <w:p>
      <w:pPr>
        <w:pStyle w:val="Compact"/>
        <w:numPr>
          <w:ilvl w:val="0"/>
          <w:numId w:val="1002"/>
        </w:numPr>
      </w:pPr>
      <w:r>
        <w:t xml:space="preserve">Watch for updates on</w:t>
      </w:r>
      <w:r>
        <w:t xml:space="preserve"> </w:t>
      </w:r>
      <w:r>
        <w:rPr>
          <w:b/>
          <w:bCs/>
        </w:rPr>
        <w:t xml:space="preserve">Virginia Block VI / Columbia Build II</w:t>
      </w:r>
      <w:r>
        <w:t xml:space="preserve"> </w:t>
      </w:r>
      <w:r>
        <w:t xml:space="preserve">contract awards and single-source supply-chain constraints (steam turbines/turbine generators).</w:t>
      </w:r>
    </w:p>
    <w:p>
      <w:pPr>
        <w:pStyle w:val="Compact"/>
        <w:numPr>
          <w:ilvl w:val="0"/>
          <w:numId w:val="1002"/>
        </w:numPr>
      </w:pPr>
      <w:r>
        <w:t xml:space="preserve">Note the margin bar: 6.9% in Q2 2025, so even modest y/y expansion is a positive tell on Navy shipbuilding profitability.</w:t>
      </w:r>
    </w:p>
    <w:bookmarkEnd w:id="11"/>
    <w:bookmarkStart w:id="12" w:name="aerospace--is-the-margin-step-up-durable"/>
    <w:p>
      <w:pPr>
        <w:pStyle w:val="Heading3"/>
      </w:pPr>
      <w:r>
        <w:t xml:space="preserve">Aerospace — is the margin step-up durable?</w:t>
      </w:r>
    </w:p>
    <w:p>
      <w:pPr>
        <w:pStyle w:val="FirstParagraph"/>
      </w:pPr>
      <w:r>
        <w:t xml:space="preserve">Q1 Aerospace margin was a standout at</w:t>
      </w:r>
      <w:r>
        <w:t xml:space="preserve"> </w:t>
      </w:r>
      <w:r>
        <w:rPr>
          <w:b/>
          <w:bCs/>
        </w:rPr>
        <w:t xml:space="preserve">15.0%</w:t>
      </w:r>
      <w:r>
        <w:t xml:space="preserve"> </w:t>
      </w:r>
      <w:r>
        <w:t xml:space="preserve">(vs. 13.2% in Q2 2025), with management calling the improvement "durable" and highlighting</w:t>
      </w:r>
      <w:r>
        <w:t xml:space="preserve"> </w:t>
      </w:r>
      <w:r>
        <w:rPr>
          <w:b/>
          <w:bCs/>
        </w:rPr>
        <w:t xml:space="preserve">G800 gross margins already better than the G650 it replaces</w:t>
      </w:r>
      <w:r>
        <w:t xml:space="preserve"> </w:t>
      </w:r>
      <w:r>
        <w:t xml:space="preserve">— impressive so early in the program. Watch for:</w:t>
      </w:r>
    </w:p>
    <w:p>
      <w:pPr>
        <w:pStyle w:val="Compact"/>
        <w:numPr>
          <w:ilvl w:val="0"/>
          <w:numId w:val="1003"/>
        </w:numPr>
      </w:pPr>
      <w:r>
        <w:rPr>
          <w:b/>
          <w:bCs/>
        </w:rPr>
        <w:t xml:space="preserve">Deliveries</w:t>
      </w:r>
      <w:r>
        <w:t xml:space="preserve"> </w:t>
      </w:r>
      <w:r>
        <w:t xml:space="preserve">(~38 expected, flat-ish sequentially; Q2 2025 was 38: 32 large / 6 mid-cabin).</w:t>
      </w:r>
    </w:p>
    <w:p>
      <w:pPr>
        <w:pStyle w:val="Compact"/>
        <w:numPr>
          <w:ilvl w:val="0"/>
          <w:numId w:val="1003"/>
        </w:numPr>
      </w:pPr>
      <w:r>
        <w:rPr>
          <w:b/>
          <w:bCs/>
        </w:rPr>
        <w:t xml:space="preserve">Middle East order softness</w:t>
      </w:r>
      <w:r>
        <w:t xml:space="preserve"> </w:t>
      </w:r>
      <w:r>
        <w:t xml:space="preserve">— GD flagged that several deals slowed late in Q1 due to the regional conflict, and that G280 completions (Israel-built) could see a "small/minor" impact if the conflict drags on. Order intake (book-to-bill was 1.2x in Q1, 1.3x TTM) and any updated demand commentary are key.</w:t>
      </w:r>
    </w:p>
    <w:p>
      <w:pPr>
        <w:pStyle w:val="Compact"/>
        <w:numPr>
          <w:ilvl w:val="0"/>
          <w:numId w:val="1003"/>
        </w:numPr>
      </w:pPr>
      <w:r>
        <w:t xml:space="preserve">Whether the margin gains hold given management's note that Q2/Q3 mix is less favorable than Q4.</w:t>
      </w:r>
    </w:p>
    <w:bookmarkEnd w:id="12"/>
    <w:bookmarkStart w:id="13" w:name="X32dd141cf3d17403b137d833a3089de26788e15"/>
    <w:p>
      <w:pPr>
        <w:pStyle w:val="Heading3"/>
      </w:pPr>
      <w:r>
        <w:t xml:space="preserve">Combat Systems — munitions strength vs. vehicle transition</w:t>
      </w:r>
    </w:p>
    <w:p>
      <w:pPr>
        <w:pStyle w:val="FirstParagraph"/>
      </w:pPr>
      <w:r>
        <w:t xml:space="preserve">Q1 revenue +4.9%, margin 13.6%. The story is a barbell:</w:t>
      </w:r>
      <w:r>
        <w:t xml:space="preserve"> </w:t>
      </w:r>
      <w:r>
        <w:rPr>
          <w:b/>
          <w:bCs/>
        </w:rPr>
        <w:t xml:space="preserve">strong munitions/ordnance growth (OTS)</w:t>
      </w:r>
      <w:r>
        <w:t xml:space="preserve"> </w:t>
      </w:r>
      <w:r>
        <w:t xml:space="preserve">and international vehicle demand, offset by a</w:t>
      </w:r>
      <w:r>
        <w:t xml:space="preserve"> </w:t>
      </w:r>
      <w:r>
        <w:rPr>
          <w:b/>
          <w:bCs/>
        </w:rPr>
        <w:t xml:space="preserve">U.S. combat-vehicle transition</w:t>
      </w:r>
      <w:r>
        <w:t xml:space="preserve"> </w:t>
      </w:r>
      <w:r>
        <w:t xml:space="preserve">(lower M1 Abrams volume ahead of M1E3, lower Stryker rates). Watch for:</w:t>
      </w:r>
    </w:p>
    <w:p>
      <w:pPr>
        <w:pStyle w:val="Compact"/>
        <w:numPr>
          <w:ilvl w:val="0"/>
          <w:numId w:val="1004"/>
        </w:numPr>
      </w:pPr>
      <w:r>
        <w:t xml:space="preserve">Updates on the</w:t>
      </w:r>
      <w:r>
        <w:t xml:space="preserve"> </w:t>
      </w:r>
      <w:r>
        <w:rPr>
          <w:b/>
          <w:bCs/>
        </w:rPr>
        <w:t xml:space="preserve">Mesquite artillery facility</w:t>
      </w:r>
      <w:r>
        <w:t xml:space="preserve"> </w:t>
      </w:r>
      <w:r>
        <w:t xml:space="preserve">ramp (management said agreement reached with the Army; production expected next year) — trade press had flagged customer concerns here.</w:t>
      </w:r>
    </w:p>
    <w:p>
      <w:pPr>
        <w:pStyle w:val="Compact"/>
        <w:numPr>
          <w:ilvl w:val="0"/>
          <w:numId w:val="1004"/>
        </w:numPr>
      </w:pPr>
      <w:r>
        <w:t xml:space="preserve">Book-to-bill (0.9x in Q1 after lumpy 2x/4.3x prints in 2H25; 2.1x TTM) and European land systems demand.</w:t>
      </w:r>
    </w:p>
    <w:bookmarkEnd w:id="13"/>
    <w:bookmarkStart w:id="14" w:name="technologies--mix-driven-improvement"/>
    <w:p>
      <w:pPr>
        <w:pStyle w:val="Heading3"/>
      </w:pPr>
      <w:r>
        <w:t xml:space="preserve">Technologies — mix-driven improvement</w:t>
      </w:r>
    </w:p>
    <w:p>
      <w:pPr>
        <w:pStyle w:val="FirstParagraph"/>
      </w:pPr>
      <w:r>
        <w:t xml:space="preserve">Q1 revenue +4.2%, margin 9.5%. The bright spot was</w:t>
      </w:r>
      <w:r>
        <w:t xml:space="preserve"> </w:t>
      </w:r>
      <w:r>
        <w:rPr>
          <w:b/>
          <w:bCs/>
        </w:rPr>
        <w:t xml:space="preserve">Mission Systems +12% revenue</w:t>
      </w:r>
      <w:r>
        <w:t xml:space="preserve"> </w:t>
      </w:r>
      <w:r>
        <w:t xml:space="preserve">with 50bp margin expansion as it shifts from legacy programs to differentiated systems (strategic deterrence, space, encryption, unmanned).</w:t>
      </w:r>
      <w:r>
        <w:t xml:space="preserve"> </w:t>
      </w:r>
      <w:r>
        <w:rPr>
          <w:b/>
          <w:bCs/>
        </w:rPr>
        <w:t xml:space="preserve">GDIT</w:t>
      </w:r>
      <w:r>
        <w:t xml:space="preserve"> </w:t>
      </w:r>
      <w:r>
        <w:t xml:space="preserve">faces elongated procurement cycles but posted strong AI/cyber demand and grew backlog. Watch whether Mission Systems growth is sustained and whether GDIT book-to-bill holds (1.3x in Q1).</w:t>
      </w:r>
    </w:p>
    <w:p>
      <w:r>
        <w:pict>
          <v:rect style="width:0;height:1.5pt" o:hralign="center" o:hrstd="t" o:hr="t"/>
        </w:pict>
      </w:r>
    </w:p>
    <w:bookmarkEnd w:id="14"/>
    <w:bookmarkEnd w:id="15"/>
    <w:bookmarkStart w:id="16" w:name="X574f1dfa517c4d7888c99e018e8d2506a069913"/>
    <w:p>
      <w:pPr>
        <w:pStyle w:val="Heading2"/>
      </w:pPr>
      <w:r>
        <w:t xml:space="preserve">Orders, backlog &amp; cash — the balance-sheet story</w:t>
      </w:r>
    </w:p>
    <w:p>
      <w:pPr>
        <w:pStyle w:val="Compact"/>
        <w:numPr>
          <w:ilvl w:val="0"/>
          <w:numId w:val="1005"/>
        </w:numPr>
      </w:pPr>
      <w:r>
        <w:rPr>
          <w:b/>
          <w:bCs/>
        </w:rPr>
        <w:t xml:space="preserve">Backlog is at record levels:</w:t>
      </w:r>
      <w:r>
        <w:t xml:space="preserve"> </w:t>
      </w:r>
      <w:r>
        <w:t xml:space="preserve">total backlog $130.8B at Q1 (+48% y/y), total estimated contract value</w:t>
      </w:r>
      <w:r>
        <w:t xml:space="preserve"> </w:t>
      </w:r>
      <m:oMath>
        <m:r>
          <m:t>188.4</m:t>
        </m:r>
        <m:r>
          <m:t>B</m:t>
        </m:r>
        <m:r>
          <m:rPr>
            <m:sty m:val="p"/>
          </m:rPr>
          <m:t>(</m:t>
        </m:r>
        <m:r>
          <m:rPr>
            <m:sty m:val="p"/>
          </m:rPr>
          <m:t>+</m:t>
        </m:r>
        <m:r>
          <m:t>33</m:t>
        </m:r>
      </m:oMath>
      <w:r>
        <w:t xml:space="preserve">64B funded) provides multi-year visibility. Watch the Q2 book-to-bill — Q2 2025 was a very strong 2.2x, so the comp is tough.</w:t>
      </w:r>
    </w:p>
    <w:p>
      <w:pPr>
        <w:pStyle w:val="Compact"/>
        <w:numPr>
          <w:ilvl w:val="0"/>
          <w:numId w:val="1005"/>
        </w:numPr>
      </w:pPr>
      <w:r>
        <w:rPr>
          <w:b/>
          <w:bCs/>
        </w:rPr>
        <w:t xml:space="preserve">Cash was exceptional in Q1</w:t>
      </w:r>
      <w:r>
        <w:t xml:space="preserve"> </w:t>
      </w:r>
      <w:r>
        <w:t xml:space="preserve">(operating cash flow</w:t>
      </w:r>
      <w:r>
        <w:t xml:space="preserve"> </w:t>
      </w:r>
      <m:oMath>
        <m:r>
          <m:t>2.2</m:t>
        </m:r>
        <m:r>
          <m:t>B</m:t>
        </m:r>
        <m:r>
          <m:rPr>
            <m:sty m:val="p"/>
          </m:rPr>
          <m:t>,</m:t>
        </m:r>
        <m:r>
          <m:t>192</m:t>
        </m:r>
      </m:oMath>
      <w:r>
        <w:t xml:space="preserve">2.0B). Management said Q1 would be the largest FCF quarter and pulled cash forward, so</w:t>
      </w:r>
      <w:r>
        <w:t xml:space="preserve"> </w:t>
      </w:r>
      <w:r>
        <w:rPr>
          <w:b/>
          <w:bCs/>
        </w:rPr>
        <w:t xml:space="preserve">expect a sequential step-down</w:t>
      </w:r>
      <w:r>
        <w:t xml:space="preserve"> </w:t>
      </w:r>
      <w:r>
        <w:t xml:space="preserve">but positive FCF, with full-year conversion targeted at ~100% (possibly higher). Net debt fell to $4.4B.</w:t>
      </w:r>
    </w:p>
    <w:p>
      <w:pPr>
        <w:pStyle w:val="Compact"/>
        <w:numPr>
          <w:ilvl w:val="0"/>
          <w:numId w:val="1005"/>
        </w:numPr>
      </w:pPr>
      <w:r>
        <w:rPr>
          <w:b/>
          <w:bCs/>
        </w:rPr>
        <w:t xml:space="preserve">Capital returns:</w:t>
      </w:r>
      <w:r>
        <w:t xml:space="preserve"> </w:t>
      </w:r>
      <w:r>
        <w:t xml:space="preserve">GD is being deliberately cautious on buybacks in the current political environment — Q1 repurchases only covered dilution (~$200M). The dividend (raised 29 straight years) remains the priority. Don't expect an aggressive buyback signal.</w:t>
      </w:r>
    </w:p>
    <w:p>
      <w:pPr>
        <w:pStyle w:val="Compact"/>
        <w:numPr>
          <w:ilvl w:val="0"/>
          <w:numId w:val="1005"/>
        </w:numPr>
      </w:pPr>
      <w:r>
        <w:rPr>
          <w:b/>
          <w:bCs/>
        </w:rPr>
        <w:t xml:space="preserve">Refinancing:</w:t>
      </w:r>
      <w:r>
        <w:t xml:space="preserve"> </w:t>
      </w:r>
      <m:oMath>
        <m:r>
          <m:t>1</m:t>
        </m:r>
        <m:r>
          <m:t>B</m:t>
        </m:r>
        <m:r>
          <m:t>o</m:t>
        </m:r>
        <m:r>
          <m:t>f</m:t>
        </m:r>
        <m:r>
          <m:t>n</m:t>
        </m:r>
        <m:r>
          <m:t>o</m:t>
        </m:r>
        <m:r>
          <m:t>t</m:t>
        </m:r>
        <m:r>
          <m:t>e</m:t>
        </m:r>
        <m:r>
          <m:t>s</m:t>
        </m:r>
        <m:r>
          <m:rPr>
            <m:sty m:val="p"/>
          </m:rPr>
          <m:t>(</m:t>
        </m:r>
      </m:oMath>
      <w:r>
        <w:t xml:space="preserve">500M each in June and August 2026) assumed to be refinanced — a minor item.</w:t>
      </w:r>
    </w:p>
    <w:p>
      <w:r>
        <w:pict>
          <v:rect style="width:0;height:1.5pt" o:hralign="center" o:hrstd="t" o:hr="t"/>
        </w:pict>
      </w:r>
    </w:p>
    <w:bookmarkEnd w:id="16"/>
    <w:bookmarkStart w:id="17" w:name="key-questions-for-the-call"/>
    <w:p>
      <w:pPr>
        <w:pStyle w:val="Heading2"/>
      </w:pPr>
      <w:r>
        <w:t xml:space="preserve">Key questions for the call</w:t>
      </w:r>
    </w:p>
    <w:p>
      <w:pPr>
        <w:pStyle w:val="Compact"/>
        <w:numPr>
          <w:ilvl w:val="0"/>
          <w:numId w:val="1006"/>
        </w:numPr>
      </w:pPr>
      <w:r>
        <w:rPr>
          <w:b/>
          <w:bCs/>
        </w:rPr>
        <w:t xml:space="preserve">Does management raise FY26 guidance again</w:t>
      </w:r>
      <w:r>
        <w:t xml:space="preserve">, or reaffirm the</w:t>
      </w:r>
      <w:r>
        <w:t xml:space="preserve"> </w:t>
      </w:r>
      <m:oMath>
        <m:r>
          <m:t>16.45</m:t>
        </m:r>
        <m:r>
          <m:rPr>
            <m:sty m:val="p"/>
          </m:rPr>
          <m:t>–</m:t>
        </m:r>
      </m:oMath>
      <w:r>
        <w:t xml:space="preserve">16.55 range? Given the strong Q1, a conservative reaffirmation could disappoint a stock at highs; another raise would validate momentum.</w:t>
      </w:r>
    </w:p>
    <w:p>
      <w:pPr>
        <w:pStyle w:val="Compact"/>
        <w:numPr>
          <w:ilvl w:val="0"/>
          <w:numId w:val="1006"/>
        </w:numPr>
      </w:pPr>
      <w:r>
        <w:rPr>
          <w:b/>
          <w:bCs/>
        </w:rPr>
        <w:t xml:space="preserve">Aerospace margin trajectory</w:t>
      </w:r>
      <w:r>
        <w:t xml:space="preserve"> </w:t>
      </w:r>
      <w:r>
        <w:t xml:space="preserve">— is 15% the new normal, and how much did Middle East order softness bite in Q2?</w:t>
      </w:r>
    </w:p>
    <w:p>
      <w:pPr>
        <w:pStyle w:val="Compact"/>
        <w:numPr>
          <w:ilvl w:val="0"/>
          <w:numId w:val="1006"/>
        </w:numPr>
      </w:pPr>
      <w:r>
        <w:rPr>
          <w:b/>
          <w:bCs/>
        </w:rPr>
        <w:t xml:space="preserve">Marine throughput</w:t>
      </w:r>
      <w:r>
        <w:t xml:space="preserve"> </w:t>
      </w:r>
      <w:r>
        <w:t xml:space="preserve">— concrete evidence of the ramp toward 2 Virginias/year and Columbia milestones; supply-chain (turbine generators).</w:t>
      </w:r>
    </w:p>
    <w:p>
      <w:pPr>
        <w:pStyle w:val="Compact"/>
        <w:numPr>
          <w:ilvl w:val="0"/>
          <w:numId w:val="1006"/>
        </w:numPr>
      </w:pPr>
      <w:r>
        <w:rPr>
          <w:b/>
          <w:bCs/>
        </w:rPr>
        <w:t xml:space="preserve">FCF conversion</w:t>
      </w:r>
      <w:r>
        <w:t xml:space="preserve"> </w:t>
      </w:r>
      <w:r>
        <w:t xml:space="preserve">— will management guide above 100% for the year?</w:t>
      </w:r>
    </w:p>
    <w:p>
      <w:pPr>
        <w:pStyle w:val="Compact"/>
        <w:numPr>
          <w:ilvl w:val="0"/>
          <w:numId w:val="1006"/>
        </w:numPr>
      </w:pPr>
      <w:r>
        <w:rPr>
          <w:b/>
          <w:bCs/>
        </w:rPr>
        <w:t xml:space="preserve">Segment guidance detail</w:t>
      </w:r>
      <w:r>
        <w:t xml:space="preserve"> </w:t>
      </w:r>
      <w:r>
        <w:t xml:space="preserve">— this is the call where management promised segment-level specifics.</w:t>
      </w:r>
    </w:p>
    <w:bookmarkEnd w:id="17"/>
    <w:bookmarkStart w:id="18" w:name="bottom-line--risk-reward"/>
    <w:p>
      <w:pPr>
        <w:pStyle w:val="Heading2"/>
      </w:pPr>
      <w:r>
        <w:t xml:space="preserve">Bottom line / risk-reward</w:t>
      </w:r>
    </w:p>
    <w:p>
      <w:pPr>
        <w:pStyle w:val="FirstParagraph"/>
      </w:pPr>
      <w:r>
        <w:t xml:space="preserve">The fundamental story is firing on all cylinders — record backlog, all four segments growing, Marine and Aerospace inflecting on margin — and GD is exceptionally well-aligned with the shipbuilding-heavy defense budget. The offsetting risk is</w:t>
      </w:r>
      <w:r>
        <w:t xml:space="preserve"> </w:t>
      </w:r>
      <w:r>
        <w:rPr>
          <w:b/>
          <w:bCs/>
        </w:rPr>
        <w:t xml:space="preserve">valuation and positioning</w:t>
      </w:r>
      <w:r>
        <w:t xml:space="preserve">: the stock is at highs after a ~17% YTD run and Q2/Q3 are seasonally the softer quarters by management's own framing. A modest sequential EPS step-down is expected; the market reaction will hinge on the</w:t>
      </w:r>
      <w:r>
        <w:t xml:space="preserve"> </w:t>
      </w:r>
      <w:r>
        <w:rPr>
          <w:b/>
          <w:bCs/>
        </w:rPr>
        <w:t xml:space="preserve">magnitude of any guidance revision, Aerospace margin durability, and Marine order/throughput commentary</w:t>
      </w:r>
      <w:r>
        <w:t xml:space="preserve"> </w:t>
      </w:r>
      <w:r>
        <w:t xml:space="preserve">rather than the headline EPS itself.</w:t>
      </w:r>
    </w:p>
    <w:p>
      <w:pPr>
        <w:pStyle w:val="BodyText"/>
      </w:pPr>
      <w:r>
        <w:rPr>
          <w:i/>
          <w:iCs/>
        </w:rPr>
        <w:t xml:space="preserve">Note: A leadership item worth flagging — President Danny Deep (not CEO Phebe Novakovic) hosted the Q1 call due to a family illness on her part; watch whether Novakovic returns to lead the Q2 call.</w:t>
      </w:r>
    </w:p>
    <w:p>
      <w:r>
        <w:pict>
          <v:rect style="width:0;height:1.5pt" o:hralign="center" o:hrstd="t" o:hr="t"/>
        </w:pict>
      </w:r>
    </w:p>
    <w:p>
      <w:pPr>
        <w:pStyle w:val="FirstParagraph"/>
      </w:pPr>
      <w:r>
        <w:rPr>
          <w:i/>
          <w:iCs/>
        </w:rPr>
        <w:t xml:space="preserve">Sources: GD Q1 2026 earnings release &amp; call transcript (4/29/2026); Q2 2025 earnings release (7/23/2025); historical share prices through 7/28/2026. All figures as reported by the company; forward estimates are the author's framing of management commentary, not guidance.</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2026-07-29T00:51:11Z</dcterms:created>
  <dcterms:modified xsi:type="dcterms:W3CDTF">2026-07-29T00:51:11Z</dcterms:modified>
</cp:coreProperties>
</file>

<file path=docProps/custom.xml><?xml version="1.0" encoding="utf-8"?>
<Properties xmlns="http://schemas.openxmlformats.org/officeDocument/2006/custom-properties" xmlns:vt="http://schemas.openxmlformats.org/officeDocument/2006/docPropsVTypes"/>
</file>