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d-earnings-predictions--2026-07-29"/>
    <w:p>
      <w:pPr>
        <w:pStyle w:val="Heading1"/>
      </w:pPr>
      <w:r>
        <w:t xml:space="preserve">GD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4.03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3.96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13.65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13.5B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Aerospace segment operating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~14.6% vs. cons ~15.0%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16.45</m:t>
              </m:r>
              <m:r>
                <m:rPr>
                  <m:sty m:val="p"/>
                </m:rPr>
                <m:t>−</m:t>
              </m:r>
            </m:oMath>
            <w:r>
              <w:t xml:space="preserve">16.55 vs. cons ~$16.50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 cadence/conversion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~positive FCF each remaining quarter, ~</w:t>
            </w:r>
            <m:oMath>
              <m:r>
                <m:t>3.3</m:t>
              </m:r>
              <m:r>
                <m:rPr>
                  <m:sty m:val="p"/>
                </m:rPr>
                <m:t>−</m:t>
              </m:r>
              <m:r>
                <m:t>3.5</m:t>
              </m:r>
              <m:r>
                <m:t>B</m:t>
              </m:r>
              <m:r>
                <m:t>F</m:t>
              </m:r>
              <m:r>
                <m:t>Y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3.4B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Aerospace order/backlog commentary (Middle East demand)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~qualitative stabilization vs. cons expecting continued softness (Q2 2026 / FY2026 outlook)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-2.3% (FADE)</w:t>
            </w:r>
          </w:p>
        </w:tc>
        <w:tc>
          <w:tcPr/>
          <w:p>
            <w:pPr>
              <w:pStyle w:val="Compact"/>
            </w:pPr>
            <w:r>
              <w:t xml:space="preserve">Stock has run +16% in two months into the print (24x trailing EPS, near all-time highs) on the back of a Q1 beat and mid-year guide raise, so a merely solid Q2 (flagged by management itself as a flattish, mix-heavy 'digestion' quarter) is unlikely to justify further multiple expansion; without a second consecutive guidance raise, sell-side will likely leave FY26 numbers roughly intact while trimming near-term Aerospace order assumptions given Middle East disruption, producing a 'beat-but-sell-the-news' day-1 dip that extends modestly over the week as investors rotate out of the crowded, highly-valued defense trade rather than add on an in-line-to-modest-beat result.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2026-07-29T00:49:20Z</dcterms:created>
  <dcterms:modified xsi:type="dcterms:W3CDTF">2026-07-29T00:49:20Z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