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well-sourced earnings preview.# General Dynamics (GD) — Q2 2026 Earnings Preview</w:t>
      </w:r>
      <w:r>
        <w:t xml:space="preserve"> </w:t>
      </w:r>
      <w:r>
        <w:rPr>
          <w:b/>
          <w:bCs/>
        </w:rPr>
        <w:t xml:space="preserve">Reports: Wednesday, July 29, 2026, before market open</w:t>
      </w:r>
    </w:p>
    <w:bookmarkStart w:id="9" w:name="setup"/>
    <w:p>
      <w:pPr>
        <w:pStyle w:val="Heading2"/>
      </w:pPr>
      <w:r>
        <w:t xml:space="preserve">Setup</w:t>
      </w:r>
    </w:p>
    <w:p>
      <w:pPr>
        <w:pStyle w:val="FirstParagraph"/>
      </w:pPr>
      <w:r>
        <w:t xml:space="preserve">GD heads into tomorrow's print near all-time highs, with shares closing at</w:t>
      </w:r>
      <w:r>
        <w:t xml:space="preserve"> </w:t>
      </w:r>
      <w:r>
        <w:rPr>
          <w:b/>
          <w:bCs/>
        </w:rPr>
        <w:t xml:space="preserve">$393.23</w:t>
      </w:r>
      <w:r>
        <w:t xml:space="preserve"> </w:t>
      </w:r>
      <w:r>
        <w:t xml:space="preserve">on July 28, up roughly 14% year-to-date and well off the April tariff-scare low near $313. The stock trades around 24x trailing earnings, and expectations are elevated after a blowout Q1.</w:t>
      </w:r>
    </w:p>
    <w:p>
      <w:pPr>
        <w:pStyle w:val="BodyText"/>
      </w:pPr>
      <w:r>
        <w:rPr>
          <w:b/>
          <w:bCs/>
        </w:rPr>
        <w:t xml:space="preserve">Consensus for Q2 2026:</w:t>
      </w:r>
      <w:r>
        <w:t xml:space="preserve"> </w:t>
      </w:r>
      <w:r>
        <w:t xml:space="preserve">EPS of</w:t>
      </w:r>
      <w:r>
        <w:t xml:space="preserve"> </w:t>
      </w:r>
      <w:r>
        <w:rPr>
          <w:b/>
          <w:bCs/>
        </w:rPr>
        <w:t xml:space="preserve">~</w:t>
      </w:r>
      <m:oMath>
        <m:r>
          <m:t>3.95</m:t>
        </m:r>
        <m:r>
          <m:rPr>
            <m:sty m:val="p"/>
          </m:rPr>
          <m:t>–</m:t>
        </m:r>
      </m:oMath>
      <w:r>
        <w:rPr>
          <w:b/>
          <w:bCs/>
        </w:rPr>
        <w:t xml:space="preserve">3.97</w:t>
      </w:r>
      <w:r>
        <w:t xml:space="preserve"> </w:t>
      </w:r>
      <w:r>
        <w:t xml:space="preserve">(vs.</w:t>
      </w:r>
      <w:r>
        <w:t xml:space="preserve"> </w:t>
      </w:r>
      <m:oMath>
        <m:r>
          <m:t>3.74</m:t>
        </m:r>
        <m:r>
          <m:t>a</m:t>
        </m:r>
        <m:r>
          <m:t>y</m:t>
        </m:r>
        <m:r>
          <m:t>e</m:t>
        </m:r>
        <m:r>
          <m:t>a</m:t>
        </m:r>
        <m:r>
          <m:t>r</m:t>
        </m:r>
        <m:r>
          <m:t>a</m:t>
        </m:r>
        <m:r>
          <m:t>g</m:t>
        </m:r>
        <m:r>
          <m:t>o</m:t>
        </m:r>
        <m:r>
          <m:rPr>
            <m:sty m:val="p"/>
          </m:rPr>
          <m:t>,</m:t>
        </m:r>
        <m:r>
          <m:rPr>
            <m:sty m:val="p"/>
          </m:rPr>
          <m:t>+</m:t>
        </m:r>
        <m:r>
          <m:t> </m:t>
        </m:r>
        <m:r>
          <m:t>6</m:t>
        </m:r>
      </m:oMath>
      <w:r>
        <w:t xml:space="preserve">13.5 billion** (+~3-4% y/y) — a notable deceleration from Q1's 10.3% revenue growth, reflecting a tougher prior-year comp and a "digestion" quarter that management itself flagged.</w:t>
      </w:r>
    </w:p>
    <w:bookmarkEnd w:id="9"/>
    <w:bookmarkStart w:id="10" w:name="Xfbf10e944971553ce58e663209531d059df0bb4"/>
    <w:p>
      <w:pPr>
        <w:pStyle w:val="Heading2"/>
      </w:pPr>
      <w:r>
        <w:t xml:space="preserve">What happened last quarter (the bar being set)</w:t>
      </w:r>
    </w:p>
    <w:p>
      <w:pPr>
        <w:pStyle w:val="FirstParagraph"/>
      </w:pPr>
      <w:r>
        <w:t xml:space="preserve">Q1 2026 was described by management as a standout quarter. General Dynamics reported earnings of $4.10 per diluted share on revenue of $13.5 billion, operating earnings of $1.420 billion and net earnings of $1.125 billion, with revenue up 10.3%, operating earnings up 12% and net earnings up 13.2% year-over-year. Management noted "We beat consensus by $0.43 in the quarter on more revenue and better operating margins than expected by the sell side".</w:t>
      </w:r>
    </w:p>
    <w:p>
      <w:pPr>
        <w:pStyle w:val="BodyText"/>
      </w:pPr>
      <w:r>
        <w:t xml:space="preserve">Critically, the strong start led management to raise full-year guidance mid-year — unusual for GD. "As a reminder, in January, we told you to assume an EPS range of $16.10 to $16.20. Our updated guidance for 2026 would be an EPS range of $16.45 to $16.55." That guide implies the</w:t>
      </w:r>
      <w:r>
        <w:t xml:space="preserve"> </w:t>
      </w:r>
      <w:r>
        <w:rPr>
          <w:b/>
          <w:bCs/>
        </w:rPr>
        <w:t xml:space="preserve">market has already priced in a strong 2026</w:t>
      </w:r>
      <w:r>
        <w:t xml:space="preserve">, raising the bar for Q2.</w:t>
      </w:r>
    </w:p>
    <w:p>
      <w:pPr>
        <w:pStyle w:val="BodyText"/>
      </w:pPr>
      <w:r>
        <w:t xml:space="preserve">Management also explicitly previewed the cadence for Q2: "From a delivery standpoint, we should expect that second quarter will be very similar to first quarter and then the third and fourth will be our highest, and that's per plan." On margins, they added "I think you'll see some mix movement in the second and third quarter, but certainly as planned, and then you'll see a really strong fourth quarter." This sets up Q2 as a sequentially flattish, second-half-weighted quarter by design — investors should not extrapolate Q1's outsized beat directly into Q2.</w:t>
      </w:r>
    </w:p>
    <w:bookmarkEnd w:id="10"/>
    <w:bookmarkStart w:id="11" w:name="segment-by-segment-what-to-watch"/>
    <w:p>
      <w:pPr>
        <w:pStyle w:val="Heading2"/>
      </w:pPr>
      <w:r>
        <w:t xml:space="preserve">Segment-by-segment: what to watch</w:t>
      </w:r>
    </w:p>
    <w:p>
      <w:pPr>
        <w:pStyle w:val="FirstParagraph"/>
      </w:pPr>
      <w:r>
        <w:rPr>
          <w:b/>
          <w:bCs/>
        </w:rPr>
        <w:t xml:space="preserve">Aerospace (Gulfstream/Jet Aviation)</w:t>
      </w:r>
      <w:r>
        <w:t xml:space="preserve"> </w:t>
      </w:r>
      <w:r>
        <w:t xml:space="preserve">— Q1 delivered 38 deliveries in the quarter... the highest number of deliveries for any first quarter in Gulfstream history, with margins hitting 15%. The key swing factor for Q2 is the</w:t>
      </w:r>
      <w:r>
        <w:t xml:space="preserve"> </w:t>
      </w:r>
      <w:r>
        <w:rPr>
          <w:b/>
          <w:bCs/>
        </w:rPr>
        <w:t xml:space="preserve">Middle East conflict</w:t>
      </w:r>
      <w:r>
        <w:t xml:space="preserve">. Management flagged that "numerous transactions slowed at the end of the quarter as a result of the conflict in the Middle East" and that order intake in that region cooled even as the book-to-bill stayed strong. Since Q1, the Iran conflict has continued to escalate and de-escalate in cycles (ceasefires forming and breaking through July), which is a wildcard for Gulfstream order momentum and for G280 production out of Israel, where management cautioned "we could see a small impact the longer this goes on". Watch for delivery cadence (consensus expects a Q1-like ~38 units), G800 margin durability, and any updated commentary on Middle East demand.</w:t>
      </w:r>
    </w:p>
    <w:p>
      <w:pPr>
        <w:pStyle w:val="BodyText"/>
      </w:pPr>
      <w:r>
        <w:rPr>
          <w:b/>
          <w:bCs/>
        </w:rPr>
        <w:t xml:space="preserve">Marine Systems</w:t>
      </w:r>
      <w:r>
        <w:t xml:space="preserve"> </w:t>
      </w:r>
      <w:r>
        <w:t xml:space="preserve">— The best-performing segment in Q1, with 21% revenue growth "driven primarily by the Columbia- and Virginia-class programs" and earnings up 26.4% on shipyard productivity. Investors should watch for: continued throughput gains at Electric Boat (Q1 saw "a 29% increase in the number of hours earned as compared to first quarter of 2025"), progress toward the long-sought 2 Virginia-class/1 Columbia-class annual delivery cadence, and any news on the</w:t>
      </w:r>
      <w:r>
        <w:t xml:space="preserve"> </w:t>
      </w:r>
      <w:r>
        <w:rPr>
          <w:b/>
          <w:bCs/>
        </w:rPr>
        <w:t xml:space="preserve">Columbia Build II / Virginia Block VI</w:t>
      </w:r>
      <w:r>
        <w:t xml:space="preserve"> </w:t>
      </w:r>
      <w:r>
        <w:t xml:space="preserve">contract awards, which management said remain in "ongoing and detailed discussions with the Navy". The FY27 defense budget's large naval shipbuilding step-up is a tailwind, though management cautioned it won't dramatically accelerate near-term ship volumes given long lead times.</w:t>
      </w:r>
    </w:p>
    <w:p>
      <w:pPr>
        <w:pStyle w:val="BodyText"/>
      </w:pPr>
      <w:r>
        <w:rPr>
          <w:b/>
          <w:bCs/>
        </w:rPr>
        <w:t xml:space="preserve">Combat Systems</w:t>
      </w:r>
      <w:r>
        <w:t xml:space="preserve"> </w:t>
      </w:r>
      <w:r>
        <w:t xml:space="preserve">— Watch for an update on the</w:t>
      </w:r>
      <w:r>
        <w:t xml:space="preserve"> </w:t>
      </w:r>
      <w:r>
        <w:rPr>
          <w:b/>
          <w:bCs/>
        </w:rPr>
        <w:t xml:space="preserve">Mesquite, Texas artillery-shell facility</w:t>
      </w:r>
      <w:r>
        <w:t xml:space="preserve">, a sore point where the Army found the plant had failed to produce projectile parts; GD said in Q1 that it had "reached agreement with the Army customer on the path forward for that facility" and expects production online in 2027. Also watch munitions growth (a bright spot) versus the transitional lull in Abrams (M1E3) and Stryker as the Army shifts to next-gen platforms.</w:t>
      </w:r>
    </w:p>
    <w:p>
      <w:pPr>
        <w:pStyle w:val="BodyText"/>
      </w:pPr>
      <w:r>
        <w:rPr>
          <w:b/>
          <w:bCs/>
        </w:rPr>
        <w:t xml:space="preserve">Technologies (GDIT/Mission Systems)</w:t>
      </w:r>
      <w:r>
        <w:t xml:space="preserve"> </w:t>
      </w:r>
      <w:r>
        <w:t xml:space="preserve">— Mission Systems' "11.7% increase" in Q1 was a standout after years of flattish performance, driven by a shift into AI, cyber, space and precision-munitions-adjacent programs. GDIT backlog grew despite "elongated procurement cycles and fewer customer adjudications" — a trend worth confirming didn't worsen in Q2 given the broader government-services procurement slowdown narrative this year.</w:t>
      </w:r>
    </w:p>
    <w:bookmarkEnd w:id="11"/>
    <w:bookmarkStart w:id="12" w:name="Xe754953e51a770784bb90b99c741e8ea8ce31ab"/>
    <w:p>
      <w:pPr>
        <w:pStyle w:val="Heading2"/>
      </w:pPr>
      <w:r>
        <w:t xml:space="preserve">Balance sheet, cash flow and capital allocation</w:t>
      </w:r>
    </w:p>
    <w:p>
      <w:pPr>
        <w:pStyle w:val="FirstParagraph"/>
      </w:pPr>
      <w:r>
        <w:t xml:space="preserve">Q1 cash flow was exceptionally strong ($2.2B operating cash flow, 174% conversion), but management was explicit that this</w:t>
      </w:r>
      <w:r>
        <w:t xml:space="preserve"> </w:t>
      </w:r>
      <w:r>
        <w:rPr>
          <w:b/>
          <w:bCs/>
        </w:rPr>
        <w:t xml:space="preserve">pulled cash forward</w:t>
      </w:r>
      <w:r>
        <w:t xml:space="preserve">: "We now expect the first quarter to represent the largest quarter of free cash flow with positive cash flow in each of the remaining quarters". So a sequential step-down in Q2 free cash flow should not be read as a deterioration. Also watch:</w:t>
      </w:r>
    </w:p>
    <w:p>
      <w:pPr>
        <w:pStyle w:val="Compact"/>
        <w:numPr>
          <w:ilvl w:val="0"/>
          <w:numId w:val="1001"/>
        </w:numPr>
      </w:pPr>
      <w:r>
        <w:rPr>
          <w:b/>
          <w:bCs/>
        </w:rPr>
        <w:t xml:space="preserve">Capex ramp</w:t>
      </w:r>
      <w:r>
        <w:t xml:space="preserve">: guided to 3.5%-4% of sales for the year (vs. just 1.5% in Q1), concentrated in shipyard expansion — the cadence should visibly accelerate through Q2-Q4.</w:t>
      </w:r>
    </w:p>
    <w:p>
      <w:pPr>
        <w:pStyle w:val="Compact"/>
        <w:numPr>
          <w:ilvl w:val="0"/>
          <w:numId w:val="1001"/>
        </w:numPr>
      </w:pPr>
      <w:r>
        <w:rPr>
          <w:b/>
          <w:bCs/>
        </w:rPr>
        <w:t xml:space="preserve">Debt refinancing</w:t>
      </w:r>
      <w:r>
        <w:t xml:space="preserve">: $500 million of notes coming due in both June and August 2026 for a total of $1 billion, which management plans to refinance — confirmation of terms/rates would be useful data given the current rate backdrop.</w:t>
      </w:r>
    </w:p>
    <w:p>
      <w:pPr>
        <w:pStyle w:val="Compact"/>
        <w:numPr>
          <w:ilvl w:val="0"/>
          <w:numId w:val="1001"/>
        </w:numPr>
      </w:pPr>
      <w:r>
        <w:rPr>
          <w:b/>
          <w:bCs/>
        </w:rPr>
        <w:t xml:space="preserve">Buybacks remain minimal</w:t>
      </w:r>
      <w:r>
        <w:t xml:space="preserve"> </w:t>
      </w:r>
      <w:r>
        <w:t xml:space="preserve">("only acquired shares to address dilution"), while GD's</w:t>
      </w:r>
      <w:r>
        <w:t xml:space="preserve"> </w:t>
      </w:r>
      <w:r>
        <w:rPr>
          <w:b/>
          <w:bCs/>
        </w:rPr>
        <w:t xml:space="preserve">29-consecutive-year dividend growth streak</w:t>
      </w:r>
      <w:r>
        <w:t xml:space="preserve"> </w:t>
      </w:r>
      <w:r>
        <w:t xml:space="preserve">remains a core part of the capital-return story.</w:t>
      </w:r>
    </w:p>
    <w:bookmarkEnd w:id="12"/>
    <w:bookmarkStart w:id="13" w:name="backlog--the-real-story"/>
    <w:p>
      <w:pPr>
        <w:pStyle w:val="Heading2"/>
      </w:pPr>
      <w:r>
        <w:t xml:space="preserve">Backlog — the real story</w:t>
      </w:r>
    </w:p>
    <w:p>
      <w:pPr>
        <w:pStyle w:val="FirstParagraph"/>
      </w:pPr>
      <w:r>
        <w:t xml:space="preserve">Backlog discipline has been the highlight of the year. Total backlog reached "total backlog of $131 billion, an impressive 48% increase over last year and 11% higher than just a quarter ago," with total estimated contract value... at another record level of $188 billion, a 33% increase from last year, on an overall book-to-bill ratio of 2:1. Investors should watch whether order momentum — particularly defense (2.2x book-to-bill in Q1) — held up in Q2, and whether Aerospace orders recovered from the Middle East-related softness.</w:t>
      </w:r>
    </w:p>
    <w:bookmarkEnd w:id="13"/>
    <w:bookmarkStart w:id="14" w:name="macrosector-backdrop"/>
    <w:p>
      <w:pPr>
        <w:pStyle w:val="Heading2"/>
      </w:pPr>
      <w:r>
        <w:t xml:space="preserve">Macro/sector backdrop</w:t>
      </w:r>
    </w:p>
    <w:p>
      <w:pPr>
        <w:pStyle w:val="FirstParagraph"/>
      </w:pPr>
      <w:r>
        <w:t xml:space="preserve">The FY27 Pentagon budget request of roughly $1.5 trillion and the intensifying/de-escalating Iran conflict are the dominant swing factors for the group this cycle — both a potential tailwind (munitions, shipbuilding urgency) and a source of order volatility (Gulfstream Middle East sales). Peer reports have set a strong tone: RTX and Lockheed Martin both posted solid top-line beats this earnings season, reinforcing that defense demand remains robust industry-wide, which should support GD's own defense-segment commentary even as consensus expects Aerospace to face tougher comps.</w:t>
      </w:r>
    </w:p>
    <w:bookmarkEnd w:id="14"/>
    <w:bookmarkStart w:id="15" w:name="bottom-line-for-investors"/>
    <w:p>
      <w:pPr>
        <w:pStyle w:val="Heading2"/>
      </w:pPr>
      <w:r>
        <w:t xml:space="preserve">Bottom line for investors</w:t>
      </w:r>
    </w:p>
    <w:p>
      <w:pPr>
        <w:pStyle w:val="FirstParagraph"/>
      </w:pPr>
      <w:r>
        <w:t xml:space="preserve">GD comes into Q2 with credibility built from a large Q1 beat and a rare mid-year guidance raise (</w:t>
      </w:r>
      <m:oMath>
        <m:r>
          <m:t>16.45</m:t>
        </m:r>
        <m:r>
          <m:rPr>
            <m:sty m:val="p"/>
          </m:rPr>
          <m:t>–</m:t>
        </m:r>
      </m:oMath>
      <w:r>
        <w:t xml:space="preserve">16.55 full-year EPS). The bar is high but the setup is favorable: record backlog, improving shipyard throughput, and durable Gulfstream margins. The swing factors to watch tomorrow are (1) whether Aerospace orders stabilized after Middle East-related softness, (2) further evidence of Marine Systems throughput gains continuing (not just a one-quarter pop), (3) any incremental update on full-year guidance beyond the April revision, and (4) commentary on the Mesquite ammunition plant and Columbia-class Build II/Block VI contract timing. Given the stock's run to multi-year highs into the print, a "beat but not exceptional" quarter could trigger a "sell the news" reaction unless full-year guidance is nudged higher again.</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2026-07-29T00:49:20Z</dcterms:created>
  <dcterms:modified xsi:type="dcterms:W3CDTF">2026-07-29T00:49:20Z</dcterms:modified>
</cp:coreProperties>
</file>

<file path=docProps/custom.xml><?xml version="1.0" encoding="utf-8"?>
<Properties xmlns="http://schemas.openxmlformats.org/officeDocument/2006/custom-properties" xmlns:vt="http://schemas.openxmlformats.org/officeDocument/2006/docPropsVTypes"/>
</file>