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gd-earnings-predictions--2026-07-29"/>
    <w:p>
      <w:pPr>
        <w:pStyle w:val="Heading1"/>
      </w:pPr>
      <w:r>
        <w:t xml:space="preserve">GD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GD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~$4.04 vs. cons $3.95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~$13.67B vs. cons $13.49B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Aerospace operating earnings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~$475M vs. cons $460M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Full-year diluted EPS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~$16.75 vs. cons $16.66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Full-year revenue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~$55.35B vs. cons $55.16B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Aerospace operating margin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~14.6% vs. cons 14.5%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GD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Free-cash-flow conversion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~100% vs. cons 100%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GD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+1.7%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+0.8% (FADE)</w:t>
            </w:r>
          </w:p>
        </w:tc>
        <w:tc>
          <w:tcPr/>
          <w:p>
            <w:pPr>
              <w:pStyle w:val="Compact"/>
            </w:pPr>
            <w:r>
              <w:t xml:space="preserve">The Q2 beat and modest guidance increase should lift estimates, but FY2026 EPS guidance of ~$16.75 versus consensus $16.66 provides limited out-period revision upside after the pre-earnings rally, causing part of the initial reaction to fade.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2026-07-29T00:48:01Z</dcterms:created>
  <dcterms:modified xsi:type="dcterms:W3CDTF">2026-07-29T00:48:01Z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