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151cd6f8d8ada94fc39bb64550eed4ba9323b2"/>
    <w:p>
      <w:pPr>
        <w:pStyle w:val="Heading1"/>
      </w:pPr>
      <w:r>
        <w:t xml:space="preserve">General Dynamics (NYSE: GD) — 2026 Q2 Earnings Preview</w:t>
      </w:r>
    </w:p>
    <w:p>
      <w:pPr>
        <w:pStyle w:val="BlockText"/>
      </w:pPr>
      <w:r>
        <w:rPr>
          <w:b/>
          <w:bCs/>
        </w:rPr>
        <w:t xml:space="preserve">Timing note:</w:t>
      </w:r>
      <w:r>
        <w:t xml:space="preserve"> </w:t>
      </w:r>
      <w:r>
        <w:t xml:space="preserve">General Dynamics’ announcement says the Q2 conference call is</w:t>
      </w:r>
      <w:r>
        <w:t xml:space="preserve"> </w:t>
      </w:r>
      <w:r>
        <w:rPr>
          <w:b/>
          <w:bCs/>
        </w:rPr>
        <w:t xml:space="preserve">Wednesday, July 29, 2026, at 9:00 a.m. EDT</w:t>
      </w:r>
      <w:r>
        <w:t xml:space="preserve">. Since today is July 29, the event is scheduled for</w:t>
      </w:r>
      <w:r>
        <w:t xml:space="preserve"> </w:t>
      </w:r>
      <w:r>
        <w:rPr>
          <w:b/>
          <w:bCs/>
        </w:rPr>
        <w:t xml:space="preserve">today</w:t>
      </w:r>
      <w:r>
        <w:t xml:space="preserve">, not tomorrow.</w:t>
      </w:r>
    </w:p>
    <w:bookmarkStart w:id="9" w:name="investment-setup"/>
    <w:p>
      <w:pPr>
        <w:pStyle w:val="Heading2"/>
      </w:pPr>
      <w:r>
        <w:t xml:space="preserve">Investment setup</w:t>
      </w:r>
    </w:p>
    <w:p>
      <w:pPr>
        <w:pStyle w:val="FirstParagraph"/>
      </w:pPr>
      <w:r>
        <w:t xml:space="preserve">General Dynamics enters Q2 with considerable operating momentum—and a substantially higher valuation bar.</w:t>
      </w:r>
    </w:p>
    <w:p>
      <w:pPr>
        <w:pStyle w:val="BodyText"/>
      </w:pPr>
      <w:r>
        <w:t xml:space="preserve">First-quarter revenue increased 10% and EPS rose 12%, exceeding management’s own expectations. Gulfstream profitability improved sharply, submarine throughput accelerated, and free cash flow approached</w:t>
      </w:r>
      <w:r>
        <w:t xml:space="preserve"> </w:t>
      </w:r>
      <m:oMath>
        <m:r>
          <m:t>2</m:t>
        </m:r>
        <m:r>
          <m:t>b</m:t>
        </m:r>
        <m:r>
          <m:t>i</m:t>
        </m:r>
        <m:r>
          <m:t>l</m:t>
        </m:r>
        <m:r>
          <m:t>l</m:t>
        </m:r>
        <m:r>
          <m:t>i</m:t>
        </m:r>
        <m:r>
          <m:t>o</m:t>
        </m:r>
        <m:r>
          <m:t>n</m:t>
        </m:r>
        <m:r>
          <m:rPr>
            <m:sty m:val="p"/>
          </m:rPr>
          <m:t>.</m:t>
        </m:r>
        <m:r>
          <m:t>M</m:t>
        </m:r>
        <m:r>
          <m:t>a</m:t>
        </m:r>
        <m:r>
          <m:t>n</m:t>
        </m:r>
        <m:r>
          <m:t>a</m:t>
        </m:r>
        <m:r>
          <m:t>g</m:t>
        </m:r>
        <m:r>
          <m:t>e</m:t>
        </m:r>
        <m:r>
          <m:t>m</m:t>
        </m:r>
        <m:r>
          <m:t>e</m:t>
        </m:r>
        <m:r>
          <m:t>n</m:t>
        </m:r>
        <m:r>
          <m:t>t</m:t>
        </m:r>
        <m:r>
          <m:t>r</m:t>
        </m:r>
        <m:r>
          <m:t>e</m:t>
        </m:r>
        <m:r>
          <m:t>s</m:t>
        </m:r>
        <m:r>
          <m:t>p</m:t>
        </m:r>
        <m:r>
          <m:t>o</m:t>
        </m:r>
        <m:r>
          <m:t>n</m:t>
        </m:r>
        <m:r>
          <m:t>d</m:t>
        </m:r>
        <m:r>
          <m:t>e</m:t>
        </m:r>
        <m:r>
          <m:t>d</m:t>
        </m:r>
        <m:r>
          <m:t>b</m:t>
        </m:r>
        <m:r>
          <m:t>y</m:t>
        </m:r>
        <m:r>
          <m:t>r</m:t>
        </m:r>
        <m:r>
          <m:t>a</m:t>
        </m:r>
        <m:r>
          <m:t>i</m:t>
        </m:r>
        <m:r>
          <m:t>s</m:t>
        </m:r>
        <m:r>
          <m:t>i</m:t>
        </m:r>
        <m:r>
          <m:t>n</m:t>
        </m:r>
        <m:r>
          <m:t>g</m:t>
        </m:r>
        <m:r>
          <m:t>f</m:t>
        </m:r>
        <m:r>
          <m:t>u</m:t>
        </m:r>
        <m:r>
          <m:t>l</m:t>
        </m:r>
        <m:r>
          <m:t>l</m:t>
        </m:r>
        <m:r>
          <m:rPr>
            <m:sty m:val="p"/>
          </m:rPr>
          <m:t>−</m:t>
        </m:r>
        <m:r>
          <m:t>y</m:t>
        </m:r>
        <m:r>
          <m:t>e</m:t>
        </m:r>
        <m:r>
          <m:t>a</m:t>
        </m:r>
        <m:r>
          <m:t>r</m:t>
        </m:r>
        <m:r>
          <m:t>E</m:t>
        </m:r>
        <m:r>
          <m:t>P</m:t>
        </m:r>
        <m:r>
          <m:t>S</m:t>
        </m:r>
        <m:r>
          <m:t>g</m:t>
        </m:r>
        <m:r>
          <m:t>u</m:t>
        </m:r>
        <m:r>
          <m:t>i</m:t>
        </m:r>
        <m:r>
          <m:t>d</m:t>
        </m:r>
        <m:r>
          <m:t>a</m:t>
        </m:r>
        <m:r>
          <m:t>n</m:t>
        </m:r>
        <m:r>
          <m:t>c</m:t>
        </m:r>
        <m:r>
          <m:t>e</m:t>
        </m:r>
        <m:r>
          <m:t>t</m:t>
        </m:r>
        <m:r>
          <m:t>o</m:t>
        </m:r>
        <m:r>
          <m:rPr>
            <m:sty m:val="p"/>
          </m:rPr>
          <m:t>*</m:t>
        </m:r>
        <m:r>
          <m:rPr>
            <m:sty m:val="p"/>
          </m:rPr>
          <m:t>*</m:t>
        </m:r>
      </m:oMath>
      <w:r>
        <w:t xml:space="preserve">16.45–</w:t>
      </w:r>
      <m:oMath>
        <m:r>
          <m:t>16.55</m:t>
        </m:r>
        <m:r>
          <m:rPr>
            <m:sty m:val="p"/>
          </m:rPr>
          <m:t>*</m:t>
        </m:r>
        <m:r>
          <m:rPr>
            <m:sty m:val="p"/>
          </m:rPr>
          <m:t>*</m:t>
        </m:r>
        <m:r>
          <m:t>f</m:t>
        </m:r>
        <m:r>
          <m:t>r</m:t>
        </m:r>
        <m:r>
          <m:t>o</m:t>
        </m:r>
        <m:r>
          <m:t>m</m:t>
        </m:r>
        <m:r>
          <m:rPr>
            <m:sty m:val="p"/>
          </m:rPr>
          <m:t>*</m:t>
        </m:r>
        <m:r>
          <m:rPr>
            <m:sty m:val="p"/>
          </m:rPr>
          <m:t>*</m:t>
        </m:r>
      </m:oMath>
      <w:r>
        <w:t xml:space="preserve">16.10–$16.20**.</w:t>
      </w:r>
    </w:p>
    <w:p>
      <w:pPr>
        <w:pStyle w:val="BodyText"/>
      </w:pPr>
      <w:r>
        <w:t xml:space="preserve">The stock has since priced in much of that strength. GD closed at</w:t>
      </w:r>
      <w:r>
        <w:t xml:space="preserve"> </w:t>
      </w:r>
      <w:r>
        <w:rPr>
          <w:b/>
          <w:bCs/>
        </w:rPr>
        <w:t xml:space="preserve">$393.23 on July 28</w:t>
      </w:r>
      <w:r>
        <w:t xml:space="preserve">, up roughly</w:t>
      </w:r>
      <w:r>
        <w:t xml:space="preserve"> </w:t>
      </w:r>
      <w:r>
        <w:rPr>
          <w:b/>
          <w:bCs/>
        </w:rPr>
        <w:t xml:space="preserve">15% since the beginning of 2026</w:t>
      </w:r>
      <w:r>
        <w:t xml:space="preserve"> </w:t>
      </w:r>
      <w:r>
        <w:t xml:space="preserve">and approximately</w:t>
      </w:r>
      <w:r>
        <w:t xml:space="preserve"> </w:t>
      </w:r>
      <w:r>
        <w:rPr>
          <w:b/>
          <w:bCs/>
        </w:rPr>
        <w:t xml:space="preserve">25% from immediately before the Q1 report</w:t>
      </w:r>
      <w:r>
        <w:t xml:space="preserve">. At the latest price, the shares trade around</w:t>
      </w:r>
      <w:r>
        <w:t xml:space="preserve"> </w:t>
      </w:r>
      <w:r>
        <w:rPr>
          <w:b/>
          <w:bCs/>
        </w:rPr>
        <w:t xml:space="preserve">23.8 times the midpoint of 2026 EPS guidance</w:t>
      </w:r>
      <w:r>
        <w:t xml:space="preserve">.</w:t>
      </w:r>
    </w:p>
    <w:p>
      <w:pPr>
        <w:pStyle w:val="BodyText"/>
      </w:pPr>
      <w:r>
        <w:t xml:space="preserve">That makes this more than a conventional beat-or-miss quarter. Investors will want evidence that:</w:t>
      </w:r>
    </w:p>
    <w:p>
      <w:pPr>
        <w:pStyle w:val="Compact"/>
        <w:numPr>
          <w:ilvl w:val="0"/>
          <w:numId w:val="1001"/>
        </w:numPr>
      </w:pPr>
      <w:r>
        <w:t xml:space="preserve">Gulfstream’s 15% Q1 margin was durable.</w:t>
      </w:r>
    </w:p>
    <w:p>
      <w:pPr>
        <w:pStyle w:val="Compact"/>
        <w:numPr>
          <w:ilvl w:val="0"/>
          <w:numId w:val="1001"/>
        </w:numPr>
      </w:pPr>
      <w:r>
        <w:t xml:space="preserve">Marine Systems can convert exceptional revenue growth into sustained margin expansion.</w:t>
      </w:r>
    </w:p>
    <w:p>
      <w:pPr>
        <w:pStyle w:val="Compact"/>
        <w:numPr>
          <w:ilvl w:val="0"/>
          <w:numId w:val="1001"/>
        </w:numPr>
      </w:pPr>
      <w:r>
        <w:t xml:space="preserve">Management’s full-year segment assumptions have room to move higher.</w:t>
      </w:r>
    </w:p>
    <w:p>
      <w:pPr>
        <w:pStyle w:val="Compact"/>
        <w:numPr>
          <w:ilvl w:val="0"/>
          <w:numId w:val="1001"/>
        </w:numPr>
      </w:pPr>
      <w:r>
        <w:t xml:space="preserve">Cash generation remains on track after an unusually strong first quarter.</w:t>
      </w:r>
    </w:p>
    <w:p>
      <w:r>
        <w:pict>
          <v:rect style="width:0;height:1.5pt" o:hralign="center" o:hrstd="t" o:hr="t"/>
        </w:pict>
      </w:r>
    </w:p>
    <w:bookmarkEnd w:id="9"/>
    <w:bookmarkStart w:id="10" w:name="the-q1-baseline"/>
    <w:p>
      <w:pPr>
        <w:pStyle w:val="Heading2"/>
      </w:pPr>
      <w:r>
        <w:t xml:space="preserve">The Q1 baseline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Q1 result</w:t>
            </w:r>
          </w:p>
        </w:tc>
      </w:tr>
      <w:tr>
        <w:tc>
          <w:tcPr/>
          <w:p>
            <w:pPr>
              <w:pStyle w:val="Compact"/>
            </w:pPr>
            <w:r>
              <w:t xml:space="preserve">Revenue</w:t>
            </w:r>
          </w:p>
        </w:tc>
        <w:tc>
          <w:tcPr/>
          <w:p>
            <w:pPr>
              <w:pStyle w:val="Compact"/>
              <w:jc w:val="right"/>
            </w:pPr>
            <w:r>
              <w:t xml:space="preserve">$13.48B</w:t>
            </w:r>
          </w:p>
        </w:tc>
      </w:tr>
      <w:tr>
        <w:tc>
          <w:tcPr/>
          <w:p>
            <w:pPr>
              <w:pStyle w:val="Compact"/>
            </w:pPr>
            <w:r>
              <w:t xml:space="preserve">Operating earnings</w:t>
            </w:r>
          </w:p>
        </w:tc>
        <w:tc>
          <w:tcPr/>
          <w:p>
            <w:pPr>
              <w:pStyle w:val="Compact"/>
              <w:jc w:val="right"/>
            </w:pPr>
            <w:r>
              <w:t xml:space="preserve">$1.42B</w:t>
            </w:r>
          </w:p>
        </w:tc>
      </w:tr>
      <w:tr>
        <w:tc>
          <w:tcPr/>
          <w:p>
            <w:pPr>
              <w:pStyle w:val="Compact"/>
            </w:pPr>
            <w:r>
              <w:t xml:space="preserve">Operating margin</w:t>
            </w:r>
          </w:p>
        </w:tc>
        <w:tc>
          <w:tcPr/>
          <w:p>
            <w:pPr>
              <w:pStyle w:val="Compact"/>
              <w:jc w:val="right"/>
            </w:pPr>
            <w:r>
              <w:t xml:space="preserve">10.5%</w:t>
            </w:r>
          </w:p>
        </w:tc>
      </w:tr>
      <w:tr>
        <w:tc>
          <w:tcPr/>
          <w:p>
            <w:pPr>
              <w:pStyle w:val="Compact"/>
            </w:pPr>
            <w:r>
              <w:t xml:space="preserve">Diluted EPS</w:t>
            </w:r>
          </w:p>
        </w:tc>
        <w:tc>
          <w:tcPr/>
          <w:p>
            <w:pPr>
              <w:pStyle w:val="Compact"/>
              <w:jc w:val="right"/>
            </w:pPr>
            <w:r>
              <w:t xml:space="preserve">$4.10</w:t>
            </w:r>
          </w:p>
        </w:tc>
      </w:tr>
      <w:tr>
        <w:tc>
          <w:tcPr/>
          <w:p>
            <w:pPr>
              <w:pStyle w:val="Compact"/>
            </w:pPr>
            <w:r>
              <w:t xml:space="preserve">Free cash flow</w:t>
            </w:r>
          </w:p>
        </w:tc>
        <w:tc>
          <w:tcPr/>
          <w:p>
            <w:pPr>
              <w:pStyle w:val="Compact"/>
              <w:jc w:val="right"/>
            </w:pPr>
            <w:r>
              <w:t xml:space="preserve">$1.95B</w:t>
            </w:r>
          </w:p>
        </w:tc>
      </w:tr>
      <w:tr>
        <w:tc>
          <w:tcPr/>
          <w:p>
            <w:pPr>
              <w:pStyle w:val="Compact"/>
            </w:pPr>
            <w:r>
              <w:t xml:space="preserve">Total backlog</w:t>
            </w:r>
          </w:p>
        </w:tc>
        <w:tc>
          <w:tcPr/>
          <w:p>
            <w:pPr>
              <w:pStyle w:val="Compact"/>
              <w:jc w:val="right"/>
            </w:pPr>
            <w:r>
              <w:t xml:space="preserve">$130.8B</w:t>
            </w:r>
          </w:p>
        </w:tc>
      </w:tr>
      <w:tr>
        <w:tc>
          <w:tcPr/>
          <w:p>
            <w:pPr>
              <w:pStyle w:val="Compact"/>
            </w:pPr>
            <w:r>
              <w:t xml:space="preserve">Total estimated contract value</w:t>
            </w:r>
          </w:p>
        </w:tc>
        <w:tc>
          <w:tcPr/>
          <w:p>
            <w:pPr>
              <w:pStyle w:val="Compact"/>
              <w:jc w:val="right"/>
            </w:pPr>
            <w:r>
              <w:t xml:space="preserve">$188.4B</w:t>
            </w:r>
          </w:p>
        </w:tc>
      </w:tr>
    </w:tbl>
    <w:p>
      <w:pPr>
        <w:pStyle w:val="BodyText"/>
      </w:pPr>
      <w:r>
        <w:t xml:space="preserve">Management said Q2 and Q3 EPS would likely trail Q1 because of mix, with Q4 expected to be the strongest quarter. Therefore, a sequential EPS decline would not necessarily represent deteriorating execution.</w:t>
      </w:r>
    </w:p>
    <w:p>
      <w:pPr>
        <w:pStyle w:val="BodyText"/>
      </w:pPr>
      <w:r>
        <w:t xml:space="preserve">The more important questions are whether Q2 supports another guidance increase and whether the underlying segment outlook has improved.</w:t>
      </w:r>
    </w:p>
    <w:p>
      <w:r>
        <w:pict>
          <v:rect style="width:0;height:1.5pt" o:hralign="center" o:hrstd="t" o:hr="t"/>
        </w:pict>
      </w:r>
    </w:p>
    <w:bookmarkEnd w:id="10"/>
    <w:bookmarkStart w:id="15" w:name="Xf5b92de18032f732a8037a3074fc7f64677e980"/>
    <w:p>
      <w:pPr>
        <w:pStyle w:val="Heading2"/>
      </w:pPr>
      <w:r>
        <w:t xml:space="preserve">1. Aerospace: The most important near-term earnings variable</w:t>
      </w:r>
    </w:p>
    <w:bookmarkStart w:id="11" w:name="what-went-right-in-q1"/>
    <w:p>
      <w:pPr>
        <w:pStyle w:val="Heading3"/>
      </w:pPr>
      <w:r>
        <w:t xml:space="preserve">What went right in Q1</w:t>
      </w:r>
    </w:p>
    <w:p>
      <w:pPr>
        <w:pStyle w:val="FirstParagraph"/>
      </w:pPr>
      <w:r>
        <w:t xml:space="preserve">Aerospace reported:</w:t>
      </w:r>
    </w:p>
    <w:p>
      <w:pPr>
        <w:pStyle w:val="Compact"/>
        <w:numPr>
          <w:ilvl w:val="0"/>
          <w:numId w:val="1002"/>
        </w:numPr>
      </w:pPr>
      <w:r>
        <w:rPr>
          <w:b/>
          <w:bCs/>
        </w:rPr>
        <w:t xml:space="preserve">$3.28 billion</w:t>
      </w:r>
      <w:r>
        <w:t xml:space="preserve"> </w:t>
      </w:r>
      <w:r>
        <w:t xml:space="preserve">of revenue, up 8%.</w:t>
      </w:r>
    </w:p>
    <w:p>
      <w:pPr>
        <w:pStyle w:val="Compact"/>
        <w:numPr>
          <w:ilvl w:val="0"/>
          <w:numId w:val="1002"/>
        </w:numPr>
      </w:pPr>
      <w:r>
        <w:rPr>
          <w:b/>
          <w:bCs/>
        </w:rPr>
        <w:t xml:space="preserve">$493 million</w:t>
      </w:r>
      <w:r>
        <w:t xml:space="preserve"> </w:t>
      </w:r>
      <w:r>
        <w:t xml:space="preserve">of operating earnings, up 14%.</w:t>
      </w:r>
    </w:p>
    <w:p>
      <w:pPr>
        <w:pStyle w:val="Compact"/>
        <w:numPr>
          <w:ilvl w:val="0"/>
          <w:numId w:val="1002"/>
        </w:numPr>
      </w:pPr>
      <w:r>
        <w:rPr>
          <w:b/>
          <w:bCs/>
        </w:rPr>
        <w:t xml:space="preserve">15.0% operating margin</w:t>
      </w:r>
      <w:r>
        <w:t xml:space="preserve">, up 70 basis points.</w:t>
      </w:r>
    </w:p>
    <w:p>
      <w:pPr>
        <w:pStyle w:val="Compact"/>
        <w:numPr>
          <w:ilvl w:val="0"/>
          <w:numId w:val="1002"/>
        </w:numPr>
      </w:pPr>
      <w:r>
        <w:rPr>
          <w:b/>
          <w:bCs/>
        </w:rPr>
        <w:t xml:space="preserve">38 Gulfstream deliveries</w:t>
      </w:r>
      <w:r>
        <w:t xml:space="preserve">, including continued G700 and G800 production.</w:t>
      </w:r>
    </w:p>
    <w:p>
      <w:pPr>
        <w:pStyle w:val="Compact"/>
        <w:numPr>
          <w:ilvl w:val="0"/>
          <w:numId w:val="1002"/>
        </w:numPr>
      </w:pPr>
      <w:r>
        <w:rPr>
          <w:b/>
          <w:bCs/>
        </w:rPr>
        <w:t xml:space="preserve">1.2 times book-to-bill</w:t>
      </w:r>
      <w:r>
        <w:t xml:space="preserve"> </w:t>
      </w:r>
      <w:r>
        <w:t xml:space="preserve">despite higher deliveries.</w:t>
      </w:r>
    </w:p>
    <w:p>
      <w:pPr>
        <w:pStyle w:val="FirstParagraph"/>
      </w:pPr>
      <w:r>
        <w:t xml:space="preserve">The standout was the G800. Management said its early gross margins were already better than those of the mature G650 aircraft it replaced—an unusually favorable result for a recently introduced model. Gulfstream also reported durable productivity improvements in both manufacturing and completions.</w:t>
      </w:r>
    </w:p>
    <w:bookmarkEnd w:id="11"/>
    <w:bookmarkStart w:id="12" w:name="what-to-expect-in-q2"/>
    <w:p>
      <w:pPr>
        <w:pStyle w:val="Heading3"/>
      </w:pPr>
      <w:r>
        <w:t xml:space="preserve">What to expect in Q2</w:t>
      </w:r>
    </w:p>
    <w:p>
      <w:pPr>
        <w:pStyle w:val="FirstParagraph"/>
      </w:pPr>
      <w:r>
        <w:t xml:space="preserve">Management explicitly guided to a Q2 delivery cadence similar to Q1, followed by higher deliveries in Q3 and Q4. Consequently, approximately</w:t>
      </w:r>
      <w:r>
        <w:t xml:space="preserve"> </w:t>
      </w:r>
      <w:r>
        <w:rPr>
          <w:b/>
          <w:bCs/>
        </w:rPr>
        <w:t xml:space="preserve">38 aircraft deliveries</w:t>
      </w:r>
      <w:r>
        <w:t xml:space="preserve"> </w:t>
      </w:r>
      <w:r>
        <w:t xml:space="preserve">is the cleanest operating benchmark.</w:t>
      </w:r>
    </w:p>
    <w:p>
      <w:pPr>
        <w:pStyle w:val="BodyText"/>
      </w:pPr>
      <w:r>
        <w:t xml:space="preserve">The key variable is margin, not merely delivery count. Q2 mix may be somewhat less favorable than Q1, so Aerospace does not necessarily need to repeat a 15% margin to have a good quarter. But a result close to 15% would reinforce the argument that Gulfstream has moved structurally above its original full-year margin outlook of approximately 14%.</w:t>
      </w:r>
    </w:p>
    <w:bookmarkEnd w:id="12"/>
    <w:bookmarkStart w:id="13" w:name="questions-for-the-call"/>
    <w:p>
      <w:pPr>
        <w:pStyle w:val="Heading3"/>
      </w:pPr>
      <w:r>
        <w:t xml:space="preserve">Questions for the call</w:t>
      </w:r>
    </w:p>
    <w:p>
      <w:pPr>
        <w:pStyle w:val="Compact"/>
        <w:numPr>
          <w:ilvl w:val="0"/>
          <w:numId w:val="1003"/>
        </w:numPr>
      </w:pPr>
      <w:r>
        <w:t xml:space="preserve">Did Gulfstream deliver approximately the planned number of aircraft?</w:t>
      </w:r>
    </w:p>
    <w:p>
      <w:pPr>
        <w:pStyle w:val="Compact"/>
        <w:numPr>
          <w:ilvl w:val="0"/>
          <w:numId w:val="1003"/>
        </w:numPr>
      </w:pPr>
      <w:r>
        <w:t xml:space="preserve">Is the Q1 productivity improvement continuing across the G700 and G800?</w:t>
      </w:r>
    </w:p>
    <w:p>
      <w:pPr>
        <w:pStyle w:val="Compact"/>
        <w:numPr>
          <w:ilvl w:val="0"/>
          <w:numId w:val="1003"/>
        </w:numPr>
      </w:pPr>
      <w:r>
        <w:t xml:space="preserve">How quickly can the supply chain support higher second-half production?</w:t>
      </w:r>
    </w:p>
    <w:p>
      <w:pPr>
        <w:pStyle w:val="Compact"/>
        <w:numPr>
          <w:ilvl w:val="0"/>
          <w:numId w:val="1003"/>
        </w:numPr>
      </w:pPr>
      <w:r>
        <w:t xml:space="preserve">Has Middle Eastern business-jet demand recovered after transactions slowed late in Q1?</w:t>
      </w:r>
    </w:p>
    <w:p>
      <w:pPr>
        <w:pStyle w:val="Compact"/>
        <w:numPr>
          <w:ilvl w:val="0"/>
          <w:numId w:val="1003"/>
        </w:numPr>
      </w:pPr>
      <w:r>
        <w:t xml:space="preserve">Has regional conflict affected G280 airframe deliveries from Israel?</w:t>
      </w:r>
    </w:p>
    <w:p>
      <w:pPr>
        <w:pStyle w:val="Compact"/>
        <w:numPr>
          <w:ilvl w:val="0"/>
          <w:numId w:val="1003"/>
        </w:numPr>
      </w:pPr>
      <w:r>
        <w:t xml:space="preserve">Is 2026 Aerospace margin guidance moving above the original 14% target?</w:t>
      </w:r>
    </w:p>
    <w:bookmarkEnd w:id="13"/>
    <w:bookmarkStart w:id="14" w:name="investor-interpretation"/>
    <w:p>
      <w:pPr>
        <w:pStyle w:val="Heading3"/>
      </w:pPr>
      <w:r>
        <w:t xml:space="preserve">Investor interpretation</w:t>
      </w:r>
    </w:p>
    <w:p>
      <w:pPr>
        <w:pStyle w:val="FirstParagraph"/>
      </w:pPr>
      <w:r>
        <w:rPr>
          <w:b/>
          <w:bCs/>
        </w:rPr>
        <w:t xml:space="preserve">Bullish:</w:t>
      </w:r>
      <w:r>
        <w:t xml:space="preserve"> </w:t>
      </w:r>
      <w:r>
        <w:t xml:space="preserve">Similar deliveries, margin near or above 15%, book-to-bill at least 1.0 and no reduction to the second-half delivery plan.</w:t>
      </w:r>
    </w:p>
    <w:p>
      <w:pPr>
        <w:pStyle w:val="BodyText"/>
      </w:pPr>
      <w:r>
        <w:rPr>
          <w:b/>
          <w:bCs/>
        </w:rPr>
        <w:t xml:space="preserve">Concerning:</w:t>
      </w:r>
      <w:r>
        <w:t xml:space="preserve"> </w:t>
      </w:r>
      <w:r>
        <w:t xml:space="preserve">A delivery shortfall attributed to suppliers, material margin compression unrelated to mix, or weaker orders across multiple geographies.</w:t>
      </w:r>
    </w:p>
    <w:p>
      <w:r>
        <w:pict>
          <v:rect style="width:0;height:1.5pt" o:hralign="center" o:hrstd="t" o:hr="t"/>
        </w:pict>
      </w:r>
    </w:p>
    <w:bookmarkEnd w:id="14"/>
    <w:bookmarkEnd w:id="15"/>
    <w:bookmarkStart w:id="19" w:name="X643ca2877dbaba032ac9ef05c8f48383930787c"/>
    <w:p>
      <w:pPr>
        <w:pStyle w:val="Heading2"/>
      </w:pPr>
      <w:r>
        <w:t xml:space="preserve">2. Marine Systems: Throughput is improving; margins must follow</w:t>
      </w:r>
    </w:p>
    <w:p>
      <w:pPr>
        <w:pStyle w:val="FirstParagraph"/>
      </w:pPr>
      <w:r>
        <w:t xml:space="preserve">Marine Systems is now GD’s largest segment by revenue and the principal driver of consolidated growth.</w:t>
      </w:r>
    </w:p>
    <w:p>
      <w:pPr>
        <w:pStyle w:val="BodyText"/>
      </w:pPr>
      <w:r>
        <w:t xml:space="preserve">Q1 results were exceptionally strong:</w:t>
      </w:r>
    </w:p>
    <w:p>
      <w:pPr>
        <w:pStyle w:val="Compact"/>
        <w:numPr>
          <w:ilvl w:val="0"/>
          <w:numId w:val="1004"/>
        </w:numPr>
      </w:pPr>
      <w:r>
        <w:t xml:space="preserve">Revenue increased</w:t>
      </w:r>
      <w:r>
        <w:t xml:space="preserve"> </w:t>
      </w:r>
      <w:r>
        <w:rPr>
          <w:b/>
          <w:bCs/>
        </w:rPr>
        <w:t xml:space="preserve">21%</w:t>
      </w:r>
      <w:r>
        <w:t xml:space="preserve"> </w:t>
      </w:r>
      <w:r>
        <w:t xml:space="preserve">to</w:t>
      </w:r>
      <w:r>
        <w:t xml:space="preserve"> </w:t>
      </w:r>
      <w:r>
        <w:rPr>
          <w:b/>
          <w:bCs/>
        </w:rPr>
        <w:t xml:space="preserve">$4.34 billion</w:t>
      </w:r>
      <w:r>
        <w:t xml:space="preserve">.</w:t>
      </w:r>
    </w:p>
    <w:p>
      <w:pPr>
        <w:pStyle w:val="Compact"/>
        <w:numPr>
          <w:ilvl w:val="0"/>
          <w:numId w:val="1004"/>
        </w:numPr>
      </w:pPr>
      <w:r>
        <w:t xml:space="preserve">Operating earnings increased</w:t>
      </w:r>
      <w:r>
        <w:t xml:space="preserve"> </w:t>
      </w:r>
      <w:r>
        <w:rPr>
          <w:b/>
          <w:bCs/>
        </w:rPr>
        <w:t xml:space="preserve">26%</w:t>
      </w:r>
      <w:r>
        <w:t xml:space="preserve"> </w:t>
      </w:r>
      <w:r>
        <w:t xml:space="preserve">to</w:t>
      </w:r>
      <w:r>
        <w:t xml:space="preserve"> </w:t>
      </w:r>
      <w:r>
        <w:rPr>
          <w:b/>
          <w:bCs/>
        </w:rPr>
        <w:t xml:space="preserve">$316 million</w:t>
      </w:r>
      <w:r>
        <w:t xml:space="preserve">.</w:t>
      </w:r>
    </w:p>
    <w:p>
      <w:pPr>
        <w:pStyle w:val="Compact"/>
        <w:numPr>
          <w:ilvl w:val="0"/>
          <w:numId w:val="1004"/>
        </w:numPr>
      </w:pPr>
      <w:r>
        <w:t xml:space="preserve">Margin expanded 30 basis points to</w:t>
      </w:r>
      <w:r>
        <w:t xml:space="preserve"> </w:t>
      </w:r>
      <w:r>
        <w:rPr>
          <w:b/>
          <w:bCs/>
        </w:rPr>
        <w:t xml:space="preserve">7.3%</w:t>
      </w:r>
      <w:r>
        <w:t xml:space="preserve">.</w:t>
      </w:r>
    </w:p>
    <w:p>
      <w:pPr>
        <w:pStyle w:val="Compact"/>
        <w:numPr>
          <w:ilvl w:val="0"/>
          <w:numId w:val="1004"/>
        </w:numPr>
      </w:pPr>
      <w:r>
        <w:t xml:space="preserve">Columbia-class earned hours increased 29% year over year.</w:t>
      </w:r>
    </w:p>
    <w:p>
      <w:pPr>
        <w:pStyle w:val="Compact"/>
        <w:numPr>
          <w:ilvl w:val="0"/>
          <w:numId w:val="1004"/>
        </w:numPr>
      </w:pPr>
      <w:r>
        <w:t xml:space="preserve">Receipts of schedule-critical material increased 52%.</w:t>
      </w:r>
    </w:p>
    <w:p>
      <w:pPr>
        <w:pStyle w:val="FirstParagraph"/>
      </w:pPr>
      <w:r>
        <w:t xml:space="preserve">Management characterized the growth as a throughput story: more labor hours earned and more material moving through the yards, particularly on the Columbia- and Virginia-class submarine programs.</w:t>
      </w:r>
    </w:p>
    <w:bookmarkStart w:id="16" w:name="the-central-q2-issue"/>
    <w:p>
      <w:pPr>
        <w:pStyle w:val="Heading3"/>
      </w:pPr>
      <w:r>
        <w:t xml:space="preserve">The central Q2 issue</w:t>
      </w:r>
    </w:p>
    <w:p>
      <w:pPr>
        <w:pStyle w:val="FirstParagraph"/>
      </w:pPr>
      <w:r>
        <w:t xml:space="preserve">The original 2026 outlook called for Marine revenue of</w:t>
      </w:r>
      <w:r>
        <w:t xml:space="preserve"> </w:t>
      </w:r>
      <m:oMath>
        <m:r>
          <m:t>17.3</m:t>
        </m:r>
        <m:r>
          <m:rPr>
            <m:sty m:val="p"/>
          </m:rPr>
          <m:t>–</m:t>
        </m:r>
      </m:oMath>
      <w:r>
        <w:rPr>
          <w:b/>
          <w:bCs/>
        </w:rPr>
        <w:t xml:space="preserve">17.7 billion</w:t>
      </w:r>
      <w:r>
        <w:t xml:space="preserve"> </w:t>
      </w:r>
      <w:r>
        <w:t xml:space="preserve">and margin around</w:t>
      </w:r>
      <w:r>
        <w:t xml:space="preserve"> </w:t>
      </w:r>
      <w:r>
        <w:rPr>
          <w:b/>
          <w:bCs/>
        </w:rPr>
        <w:t xml:space="preserve">7.3%</w:t>
      </w:r>
      <w:r>
        <w:t xml:space="preserve">. Q1 revenue annualizes close to the midpoint of that range, while execution and Navy demand appear to be improving.</w:t>
      </w:r>
    </w:p>
    <w:p>
      <w:pPr>
        <w:pStyle w:val="BodyText"/>
      </w:pPr>
      <w:r>
        <w:t xml:space="preserve">Investors should therefore focus on whether management raises the revenue outlook—or signals that the current range is still appropriate because of quarterly timing and supply-chain constraints.</w:t>
      </w:r>
    </w:p>
    <w:p>
      <w:pPr>
        <w:pStyle w:val="BodyText"/>
      </w:pPr>
      <w:r>
        <w:t xml:space="preserve">Margin remains the larger long-term opportunity. Even modest expansion creates meaningful incremental earnings because of Marine’s scale. But investors should avoid extrapolating rapid improvement: supplier delays, quality escapes and contract estimate adjustments can produce quarterly volatility.</w:t>
      </w:r>
    </w:p>
    <w:bookmarkEnd w:id="16"/>
    <w:bookmarkStart w:id="17" w:name="questions-for-the-call-1"/>
    <w:p>
      <w:pPr>
        <w:pStyle w:val="Heading3"/>
      </w:pPr>
      <w:r>
        <w:t xml:space="preserve">Questions for the call</w:t>
      </w:r>
    </w:p>
    <w:p>
      <w:pPr>
        <w:pStyle w:val="Compact"/>
        <w:numPr>
          <w:ilvl w:val="0"/>
          <w:numId w:val="1005"/>
        </w:numPr>
      </w:pPr>
      <w:r>
        <w:t xml:space="preserve">Is submarine throughput still improving sequentially?</w:t>
      </w:r>
    </w:p>
    <w:p>
      <w:pPr>
        <w:pStyle w:val="Compact"/>
        <w:numPr>
          <w:ilvl w:val="0"/>
          <w:numId w:val="1005"/>
        </w:numPr>
      </w:pPr>
      <w:r>
        <w:t xml:space="preserve">Are supplier on-time delivery and quality metrics improving?</w:t>
      </w:r>
    </w:p>
    <w:p>
      <w:pPr>
        <w:pStyle w:val="Compact"/>
        <w:numPr>
          <w:ilvl w:val="0"/>
          <w:numId w:val="1005"/>
        </w:numPr>
      </w:pPr>
      <w:r>
        <w:t xml:space="preserve">Is GD progressing toward the Navy’s targeted cadence of two Virginia-class submarines and one Columbia-class submarine annually?</w:t>
      </w:r>
    </w:p>
    <w:p>
      <w:pPr>
        <w:pStyle w:val="Compact"/>
        <w:numPr>
          <w:ilvl w:val="0"/>
          <w:numId w:val="1005"/>
        </w:numPr>
      </w:pPr>
      <w:r>
        <w:t xml:space="preserve">Can Marine sustain margins above 7.3% while making heavy investments in capacity?</w:t>
      </w:r>
    </w:p>
    <w:p>
      <w:pPr>
        <w:pStyle w:val="Compact"/>
        <w:numPr>
          <w:ilvl w:val="0"/>
          <w:numId w:val="1005"/>
        </w:numPr>
      </w:pPr>
      <w:r>
        <w:t xml:space="preserve">What is the expected timing of Virginia Block VI and Columbia Build II awards?</w:t>
      </w:r>
    </w:p>
    <w:p>
      <w:pPr>
        <w:pStyle w:val="Compact"/>
        <w:numPr>
          <w:ilvl w:val="0"/>
          <w:numId w:val="1005"/>
        </w:numPr>
      </w:pPr>
      <w:r>
        <w:t xml:space="preserve">Was Q1’s 21% revenue growth partly timing-related, or is that level of throughput sustainable?</w:t>
      </w:r>
    </w:p>
    <w:bookmarkEnd w:id="17"/>
    <w:bookmarkStart w:id="18" w:name="investor-interpretation-1"/>
    <w:p>
      <w:pPr>
        <w:pStyle w:val="Heading3"/>
      </w:pPr>
      <w:r>
        <w:t xml:space="preserve">Investor interpretation</w:t>
      </w:r>
    </w:p>
    <w:p>
      <w:pPr>
        <w:pStyle w:val="FirstParagraph"/>
      </w:pPr>
      <w:r>
        <w:t xml:space="preserve">A quarter with high-teens revenue growth and margin at or above 7.3% would support the long-term margin-expansion thesis. Strong revenue accompanied by a material margin decline would be less convincing.</w:t>
      </w:r>
    </w:p>
    <w:p>
      <w:r>
        <w:pict>
          <v:rect style="width:0;height:1.5pt" o:hralign="center" o:hrstd="t" o:hr="t"/>
        </w:pict>
      </w:r>
    </w:p>
    <w:bookmarkEnd w:id="18"/>
    <w:bookmarkEnd w:id="19"/>
    <w:bookmarkStart w:id="21" w:name="Xf4e3f12284de50e96cae0d46967bb0490ac4868"/>
    <w:p>
      <w:pPr>
        <w:pStyle w:val="Heading2"/>
      </w:pPr>
      <w:r>
        <w:t xml:space="preserve">3. Combat Systems: International vehicles and munitions versus U.S. vehicle pressure</w:t>
      </w:r>
    </w:p>
    <w:p>
      <w:pPr>
        <w:pStyle w:val="FirstParagraph"/>
      </w:pPr>
      <w:r>
        <w:t xml:space="preserve">Combat Systems produced a solid Q1:</w:t>
      </w:r>
    </w:p>
    <w:p>
      <w:pPr>
        <w:pStyle w:val="Compact"/>
        <w:numPr>
          <w:ilvl w:val="0"/>
          <w:numId w:val="1006"/>
        </w:numPr>
      </w:pPr>
      <w:r>
        <w:t xml:space="preserve">Revenue of</w:t>
      </w:r>
      <w:r>
        <w:t xml:space="preserve"> </w:t>
      </w:r>
      <w:r>
        <w:rPr>
          <w:b/>
          <w:bCs/>
        </w:rPr>
        <w:t xml:space="preserve">$2.28 billion</w:t>
      </w:r>
      <w:r>
        <w:t xml:space="preserve">, up 5%.</w:t>
      </w:r>
    </w:p>
    <w:p>
      <w:pPr>
        <w:pStyle w:val="Compact"/>
        <w:numPr>
          <w:ilvl w:val="0"/>
          <w:numId w:val="1006"/>
        </w:numPr>
      </w:pPr>
      <w:r>
        <w:t xml:space="preserve">Operating earnings of</w:t>
      </w:r>
      <w:r>
        <w:t xml:space="preserve"> </w:t>
      </w:r>
      <w:r>
        <w:rPr>
          <w:b/>
          <w:bCs/>
        </w:rPr>
        <w:t xml:space="preserve">$310 million</w:t>
      </w:r>
      <w:r>
        <w:t xml:space="preserve">, up 7%.</w:t>
      </w:r>
    </w:p>
    <w:p>
      <w:pPr>
        <w:pStyle w:val="Compact"/>
        <w:numPr>
          <w:ilvl w:val="0"/>
          <w:numId w:val="1006"/>
        </w:numPr>
      </w:pPr>
      <w:r>
        <w:t xml:space="preserve">Margin of</w:t>
      </w:r>
      <w:r>
        <w:t xml:space="preserve"> </w:t>
      </w:r>
      <w:r>
        <w:rPr>
          <w:b/>
          <w:bCs/>
        </w:rPr>
        <w:t xml:space="preserve">13.6%</w:t>
      </w:r>
      <w:r>
        <w:t xml:space="preserve">, up 20 basis points.</w:t>
      </w:r>
    </w:p>
    <w:p>
      <w:pPr>
        <w:pStyle w:val="FirstParagraph"/>
      </w:pPr>
      <w:r>
        <w:t xml:space="preserve">Growth in artillery, munitions and European military vehicles more than offset weaker U.S. vehicle revenue. The latter reflects the cancellation of the M10 Booker program, lower near-term Stryker volumes and the Army’s transition toward next-generation platforms.</w:t>
      </w:r>
    </w:p>
    <w:p>
      <w:pPr>
        <w:pStyle w:val="BodyText"/>
      </w:pPr>
      <w:r>
        <w:t xml:space="preserve">The segment’s demand picture remains favorable:</w:t>
      </w:r>
    </w:p>
    <w:p>
      <w:pPr>
        <w:pStyle w:val="Compact"/>
        <w:numPr>
          <w:ilvl w:val="0"/>
          <w:numId w:val="1007"/>
        </w:numPr>
      </w:pPr>
      <w:r>
        <w:t xml:space="preserve">International defense spending is supporting tracked and wheeled vehicle orders.</w:t>
      </w:r>
    </w:p>
    <w:p>
      <w:pPr>
        <w:pStyle w:val="Compact"/>
        <w:numPr>
          <w:ilvl w:val="0"/>
          <w:numId w:val="1007"/>
        </w:numPr>
      </w:pPr>
      <w:r>
        <w:t xml:space="preserve">Artillery and munitions inventories require replenishment.</w:t>
      </w:r>
    </w:p>
    <w:p>
      <w:pPr>
        <w:pStyle w:val="Compact"/>
        <w:numPr>
          <w:ilvl w:val="0"/>
          <w:numId w:val="1007"/>
        </w:numPr>
      </w:pPr>
      <w:r>
        <w:t xml:space="preserve">GD is investing in artillery, propellants, energetics and solid rocket motors.</w:t>
      </w:r>
    </w:p>
    <w:p>
      <w:pPr>
        <w:pStyle w:val="Compact"/>
        <w:numPr>
          <w:ilvl w:val="0"/>
          <w:numId w:val="1007"/>
        </w:numPr>
      </w:pPr>
      <w:r>
        <w:t xml:space="preserve">Trailing-12-month book-to-bill was 2.1 times after several large 2025 awards.</w:t>
      </w:r>
    </w:p>
    <w:bookmarkStart w:id="20" w:name="what-matters-in-q2"/>
    <w:p>
      <w:pPr>
        <w:pStyle w:val="Heading3"/>
      </w:pPr>
      <w:r>
        <w:t xml:space="preserve">What matters in Q2</w:t>
      </w:r>
    </w:p>
    <w:p>
      <w:pPr>
        <w:pStyle w:val="FirstParagraph"/>
      </w:pPr>
      <w:r>
        <w:t xml:space="preserve">Bookings may normalize after unusually large prior awards. Investors should not treat a sub-1.0 quarterly book-to-bill as inherently negative if backlog remains strong.</w:t>
      </w:r>
    </w:p>
    <w:p>
      <w:pPr>
        <w:pStyle w:val="BodyText"/>
      </w:pPr>
      <w:r>
        <w:t xml:space="preserve">Instead, watch:</w:t>
      </w:r>
    </w:p>
    <w:p>
      <w:pPr>
        <w:pStyle w:val="Compact"/>
        <w:numPr>
          <w:ilvl w:val="0"/>
          <w:numId w:val="1008"/>
        </w:numPr>
      </w:pPr>
      <w:r>
        <w:t xml:space="preserve">Artillery production growth.</w:t>
      </w:r>
    </w:p>
    <w:p>
      <w:pPr>
        <w:pStyle w:val="Compact"/>
        <w:numPr>
          <w:ilvl w:val="0"/>
          <w:numId w:val="1008"/>
        </w:numPr>
      </w:pPr>
      <w:r>
        <w:t xml:space="preserve">International vehicle revenue.</w:t>
      </w:r>
    </w:p>
    <w:p>
      <w:pPr>
        <w:pStyle w:val="Compact"/>
        <w:numPr>
          <w:ilvl w:val="0"/>
          <w:numId w:val="1008"/>
        </w:numPr>
      </w:pPr>
      <w:r>
        <w:t xml:space="preserve">Progress at the Mesquite, Texas, artillery facility, which is expected to enter production in 2027.</w:t>
      </w:r>
    </w:p>
    <w:p>
      <w:pPr>
        <w:pStyle w:val="Compact"/>
        <w:numPr>
          <w:ilvl w:val="0"/>
          <w:numId w:val="1008"/>
        </w:numPr>
      </w:pPr>
      <w:r>
        <w:t xml:space="preserve">Margin performance against the original full-year target of approximately 14.1%.</w:t>
      </w:r>
    </w:p>
    <w:p>
      <w:pPr>
        <w:pStyle w:val="Compact"/>
        <w:numPr>
          <w:ilvl w:val="0"/>
          <w:numId w:val="1008"/>
        </w:numPr>
      </w:pPr>
      <w:r>
        <w:t xml:space="preserve">The magnitude of the U.S. vehicle headwind.</w:t>
      </w:r>
    </w:p>
    <w:p>
      <w:pPr>
        <w:pStyle w:val="FirstParagraph"/>
      </w:pPr>
      <w:r>
        <w:t xml:space="preserve">A margin recovery toward 14% would be constructive; sustained results in the mid-13% range could limit upside to the full-year segment outlook.</w:t>
      </w:r>
    </w:p>
    <w:p>
      <w:r>
        <w:pict>
          <v:rect style="width:0;height:1.5pt" o:hralign="center" o:hrstd="t" o:hr="t"/>
        </w:pict>
      </w:r>
    </w:p>
    <w:bookmarkEnd w:id="20"/>
    <w:bookmarkEnd w:id="21"/>
    <w:bookmarkStart w:id="25" w:name="X910cfe33e35dedb75c81f26540522fbaad022cf"/>
    <w:p>
      <w:pPr>
        <w:pStyle w:val="Heading2"/>
      </w:pPr>
      <w:r>
        <w:t xml:space="preserve">4. Technologies: Mission Systems inflection versus GDIT award timing</w:t>
      </w:r>
    </w:p>
    <w:p>
      <w:pPr>
        <w:pStyle w:val="FirstParagraph"/>
      </w:pPr>
      <w:r>
        <w:t xml:space="preserve">Technologies reported Q1 revenue of</w:t>
      </w:r>
      <w:r>
        <w:t xml:space="preserve"> </w:t>
      </w:r>
      <m:oMath>
        <m:r>
          <m:t>3.58</m:t>
        </m:r>
        <m:r>
          <m:t>b</m:t>
        </m:r>
        <m:r>
          <m:t>i</m:t>
        </m:r>
        <m:r>
          <m:t>l</m:t>
        </m:r>
        <m:r>
          <m:t>l</m:t>
        </m:r>
        <m:r>
          <m:t>i</m:t>
        </m:r>
        <m:r>
          <m:t>o</m:t>
        </m:r>
        <m:r>
          <m:t>n</m:t>
        </m:r>
        <m:r>
          <m:rPr>
            <m:sty m:val="p"/>
          </m:rPr>
          <m:t>*</m:t>
        </m:r>
        <m:r>
          <m:rPr>
            <m:sty m:val="p"/>
          </m:rPr>
          <m:t>*</m:t>
        </m:r>
        <m:r>
          <m:rPr>
            <m:sty m:val="p"/>
          </m:rPr>
          <m:t>,</m:t>
        </m:r>
        <m:r>
          <m:t>u</m:t>
        </m:r>
        <m:r>
          <m:t>p</m:t>
        </m:r>
        <m:r>
          <m:t>4</m:t>
        </m:r>
      </m:oMath>
      <w:r>
        <w:rPr>
          <w:b/>
          <w:bCs/>
        </w:rPr>
        <w:t xml:space="preserve">339 million</w:t>
      </w:r>
      <w:r>
        <w:t xml:space="preserve">, up 3%. Margin slipped 10 basis points to</w:t>
      </w:r>
      <w:r>
        <w:t xml:space="preserve"> </w:t>
      </w:r>
      <w:r>
        <w:rPr>
          <w:b/>
          <w:bCs/>
        </w:rPr>
        <w:t xml:space="preserve">9.5%</w:t>
      </w:r>
      <w:r>
        <w:t xml:space="preserve">.</w:t>
      </w:r>
    </w:p>
    <w:p>
      <w:pPr>
        <w:pStyle w:val="BodyText"/>
      </w:pPr>
      <w:r>
        <w:t xml:space="preserve">The segment contains two different stories:</w:t>
      </w:r>
    </w:p>
    <w:bookmarkStart w:id="22" w:name="mission-systems"/>
    <w:p>
      <w:pPr>
        <w:pStyle w:val="Heading3"/>
      </w:pPr>
      <w:r>
        <w:t xml:space="preserve">Mission Systems</w:t>
      </w:r>
    </w:p>
    <w:p>
      <w:pPr>
        <w:pStyle w:val="FirstParagraph"/>
      </w:pPr>
      <w:r>
        <w:t xml:space="preserve">Mission Systems revenue grew nearly 12% in Q1 following a multiyear transition away from legacy programs. Demand is concentrated in areas aligned with current defense priorities, including:</w:t>
      </w:r>
    </w:p>
    <w:p>
      <w:pPr>
        <w:pStyle w:val="Compact"/>
        <w:numPr>
          <w:ilvl w:val="0"/>
          <w:numId w:val="1009"/>
        </w:numPr>
      </w:pPr>
      <w:r>
        <w:t xml:space="preserve">Strategic deterrence.</w:t>
      </w:r>
    </w:p>
    <w:p>
      <w:pPr>
        <w:pStyle w:val="Compact"/>
        <w:numPr>
          <w:ilvl w:val="0"/>
          <w:numId w:val="1009"/>
        </w:numPr>
      </w:pPr>
      <w:r>
        <w:t xml:space="preserve">Unmanned undersea systems.</w:t>
      </w:r>
    </w:p>
    <w:p>
      <w:pPr>
        <w:pStyle w:val="Compact"/>
        <w:numPr>
          <w:ilvl w:val="0"/>
          <w:numId w:val="1009"/>
        </w:numPr>
      </w:pPr>
      <w:r>
        <w:t xml:space="preserve">Space and contested-space capabilities.</w:t>
      </w:r>
    </w:p>
    <w:p>
      <w:pPr>
        <w:pStyle w:val="Compact"/>
        <w:numPr>
          <w:ilvl w:val="0"/>
          <w:numId w:val="1009"/>
        </w:numPr>
      </w:pPr>
      <w:r>
        <w:t xml:space="preserve">Encryption modernization.</w:t>
      </w:r>
    </w:p>
    <w:p>
      <w:pPr>
        <w:pStyle w:val="Compact"/>
        <w:numPr>
          <w:ilvl w:val="0"/>
          <w:numId w:val="1009"/>
        </w:numPr>
      </w:pPr>
      <w:r>
        <w:t xml:space="preserve">Precision munitions.</w:t>
      </w:r>
    </w:p>
    <w:p>
      <w:pPr>
        <w:pStyle w:val="Compact"/>
        <w:numPr>
          <w:ilvl w:val="0"/>
          <w:numId w:val="1009"/>
        </w:numPr>
      </w:pPr>
      <w:r>
        <w:t xml:space="preserve">Next-generation command and control.</w:t>
      </w:r>
    </w:p>
    <w:p>
      <w:pPr>
        <w:pStyle w:val="FirstParagraph"/>
      </w:pPr>
      <w:r>
        <w:t xml:space="preserve">The report should indicate whether Q1 represented a genuine growth inflection or benefited from favorable timing.</w:t>
      </w:r>
    </w:p>
    <w:bookmarkEnd w:id="22"/>
    <w:bookmarkStart w:id="23" w:name="gdit"/>
    <w:p>
      <w:pPr>
        <w:pStyle w:val="Heading3"/>
      </w:pPr>
      <w:r>
        <w:t xml:space="preserve">GDIT</w:t>
      </w:r>
    </w:p>
    <w:p>
      <w:pPr>
        <w:pStyle w:val="FirstParagraph"/>
      </w:pPr>
      <w:r>
        <w:t xml:space="preserve">GDIT continues to see demand for AI, cyber and digital modernization services. The constraint has been the pace of federal contract adjudications, not necessarily competitive performance. Management has cited win and capture rates of 80%–90%, but delayed awards can still push revenue to later periods.</w:t>
      </w:r>
    </w:p>
    <w:bookmarkEnd w:id="23"/>
    <w:bookmarkStart w:id="24" w:name="what-matters-in-q2-1"/>
    <w:p>
      <w:pPr>
        <w:pStyle w:val="Heading3"/>
      </w:pPr>
      <w:r>
        <w:t xml:space="preserve">What matters in Q2</w:t>
      </w:r>
    </w:p>
    <w:p>
      <w:pPr>
        <w:pStyle w:val="Compact"/>
        <w:numPr>
          <w:ilvl w:val="0"/>
          <w:numId w:val="1010"/>
        </w:numPr>
      </w:pPr>
      <w:r>
        <w:t xml:space="preserve">Continued double-digit or high-single-digit Mission Systems growth.</w:t>
      </w:r>
    </w:p>
    <w:p>
      <w:pPr>
        <w:pStyle w:val="Compact"/>
        <w:numPr>
          <w:ilvl w:val="0"/>
          <w:numId w:val="1010"/>
        </w:numPr>
      </w:pPr>
      <w:r>
        <w:t xml:space="preserve">Technologies margin remaining around 9.5%.</w:t>
      </w:r>
    </w:p>
    <w:p>
      <w:pPr>
        <w:pStyle w:val="Compact"/>
        <w:numPr>
          <w:ilvl w:val="0"/>
          <w:numId w:val="1010"/>
        </w:numPr>
      </w:pPr>
      <w:r>
        <w:t xml:space="preserve">Improvement in GDIT award cadence.</w:t>
      </w:r>
    </w:p>
    <w:p>
      <w:pPr>
        <w:pStyle w:val="Compact"/>
        <w:numPr>
          <w:ilvl w:val="0"/>
          <w:numId w:val="1010"/>
        </w:numPr>
      </w:pPr>
      <w:r>
        <w:t xml:space="preserve">Book-to-bill at or above 1.0.</w:t>
      </w:r>
    </w:p>
    <w:p>
      <w:pPr>
        <w:pStyle w:val="Compact"/>
        <w:numPr>
          <w:ilvl w:val="0"/>
          <w:numId w:val="1010"/>
        </w:numPr>
      </w:pPr>
      <w:r>
        <w:t xml:space="preserve">Any update to the original full-year outlook of approximately $13.8 billion in revenue and 9.2% margin.</w:t>
      </w:r>
    </w:p>
    <w:p>
      <w:pPr>
        <w:pStyle w:val="FirstParagraph"/>
      </w:pPr>
      <w:r>
        <w:t xml:space="preserve">Because Q1 margin was already above the full-year target, Technologies could contribute modest upside if award timing improves.</w:t>
      </w:r>
    </w:p>
    <w:p>
      <w:r>
        <w:pict>
          <v:rect style="width:0;height:1.5pt" o:hralign="center" o:hrstd="t" o:hr="t"/>
        </w:pict>
      </w:r>
    </w:p>
    <w:bookmarkEnd w:id="24"/>
    <w:bookmarkEnd w:id="25"/>
    <w:bookmarkStart w:id="26" w:name="X6b4cbd30dc3e9423d452fea57b3757654e91a0f"/>
    <w:p>
      <w:pPr>
        <w:pStyle w:val="Heading2"/>
      </w:pPr>
      <w:r>
        <w:t xml:space="preserve">5. Guidance is likely to drive the stock reaction</w:t>
      </w:r>
    </w:p>
    <w:p>
      <w:pPr>
        <w:pStyle w:val="FirstParagraph"/>
      </w:pPr>
      <w:r>
        <w:t xml:space="preserve">Management raised 2026 EPS guidance after Q1 to:</w:t>
      </w:r>
    </w:p>
    <w:p>
      <w:pPr>
        <w:pStyle w:val="BlockText"/>
      </w:pPr>
      <m:oMath>
        <m:r>
          <m:t>16.45</m:t>
        </m:r>
        <m:r>
          <m:rPr>
            <m:sty m:val="p"/>
          </m:rPr>
          <m:t>–</m:t>
        </m:r>
      </m:oMath>
      <w:r>
        <w:rPr>
          <w:b/>
          <w:bCs/>
        </w:rPr>
        <w:t xml:space="preserve">16.55 per diluted share</w:t>
      </w:r>
    </w:p>
    <w:p>
      <w:pPr>
        <w:pStyle w:val="FirstParagraph"/>
      </w:pPr>
      <w:r>
        <w:t xml:space="preserve">The midpoint implies only about</w:t>
      </w:r>
      <w:r>
        <w:t xml:space="preserve"> </w:t>
      </w:r>
      <w:r>
        <w:rPr>
          <w:b/>
          <w:bCs/>
        </w:rPr>
        <w:t xml:space="preserve">7% EPS growth</w:t>
      </w:r>
      <w:r>
        <w:t xml:space="preserve"> </w:t>
      </w:r>
      <w:r>
        <w:t xml:space="preserve">from 2025’s $15.45, despite a Q1 in which EPS grew 12% and exceeded the company’s expectations.</w:t>
      </w:r>
    </w:p>
    <w:p>
      <w:pPr>
        <w:pStyle w:val="BodyText"/>
      </w:pPr>
      <w:r>
        <w:t xml:space="preserve">That could mean one of two things:</w:t>
      </w:r>
    </w:p>
    <w:p>
      <w:pPr>
        <w:pStyle w:val="Compact"/>
        <w:numPr>
          <w:ilvl w:val="0"/>
          <w:numId w:val="1011"/>
        </w:numPr>
      </w:pPr>
      <w:r>
        <w:t xml:space="preserve">Management is appropriately reserving room for less favorable mix, elevated capital spending and normal contract volatility during the remaining quarters.</w:t>
      </w:r>
    </w:p>
    <w:p>
      <w:pPr>
        <w:pStyle w:val="Compact"/>
        <w:numPr>
          <w:ilvl w:val="0"/>
          <w:numId w:val="1011"/>
        </w:numPr>
      </w:pPr>
      <w:r>
        <w:t xml:space="preserve">Guidance still contains conservatism and may be raised again if Q2 execution is sound.</w:t>
      </w:r>
    </w:p>
    <w:p>
      <w:pPr>
        <w:pStyle w:val="FirstParagraph"/>
      </w:pPr>
      <w:r>
        <w:t xml:space="preserve">Given the stock’s rally and valuation, merely reiterating guidance may not be enough to generate a favorable reaction unless segment commentary points to upside. A raise toward or above the high-$16 range would better support the current multiple.</w:t>
      </w:r>
    </w:p>
    <w:p>
      <w:pPr>
        <w:pStyle w:val="BodyText"/>
      </w:pPr>
      <w:r>
        <w:t xml:space="preserve">Investors should also look for refreshed segment-level guidance. Management deliberately deferred a detailed segment update until the July call, making this guidance refresh arguably more important than the reported Q2 EPS figure.</w:t>
      </w:r>
    </w:p>
    <w:p>
      <w:r>
        <w:pict>
          <v:rect style="width:0;height:1.5pt" o:hralign="center" o:hrstd="t" o:hr="t"/>
        </w:pict>
      </w:r>
    </w:p>
    <w:bookmarkEnd w:id="26"/>
    <w:bookmarkStart w:id="28" w:name="X7e705dc3386d62e2d5d94fa4a5b20380f260ef8"/>
    <w:p>
      <w:pPr>
        <w:pStyle w:val="Heading2"/>
      </w:pPr>
      <w:r>
        <w:t xml:space="preserve">6. Cash flow and capital allocation</w:t>
      </w:r>
    </w:p>
    <w:p>
      <w:pPr>
        <w:pStyle w:val="FirstParagraph"/>
      </w:pPr>
      <w:r>
        <w:t xml:space="preserve">Q1 free cash flow was unusually strong at</w:t>
      </w:r>
      <w:r>
        <w:t xml:space="preserve"> </w:t>
      </w:r>
      <w:r>
        <w:rPr>
          <w:b/>
          <w:bCs/>
        </w:rPr>
        <w:t xml:space="preserve">$1.95 billion</w:t>
      </w:r>
      <w:r>
        <w:t xml:space="preserve">, or 174% of net income. Management said Q1 would be the year’s largest cash-flow quarter after some receipts moved forward from Q2.</w:t>
      </w:r>
    </w:p>
    <w:p>
      <w:pPr>
        <w:pStyle w:val="BodyText"/>
      </w:pPr>
      <w:r>
        <w:t xml:space="preserve">For the full year, GD continues to target free cash flow equal to approximately</w:t>
      </w:r>
      <w:r>
        <w:t xml:space="preserve"> </w:t>
      </w:r>
      <w:r>
        <w:rPr>
          <w:b/>
          <w:bCs/>
        </w:rPr>
        <w:t xml:space="preserve">100% of net income</w:t>
      </w:r>
      <w:r>
        <w:t xml:space="preserve">, with positive cash generation in each remaining quarter.</w:t>
      </w:r>
    </w:p>
    <w:bookmarkStart w:id="27" w:name="important-considerations"/>
    <w:p>
      <w:pPr>
        <w:pStyle w:val="Heading3"/>
      </w:pPr>
      <w:r>
        <w:t xml:space="preserve">Important considerations</w:t>
      </w:r>
    </w:p>
    <w:p>
      <w:pPr>
        <w:pStyle w:val="Compact"/>
        <w:numPr>
          <w:ilvl w:val="0"/>
          <w:numId w:val="1012"/>
        </w:numPr>
      </w:pPr>
      <w:r>
        <w:t xml:space="preserve">Capital expenditures are expected to reach</w:t>
      </w:r>
      <w:r>
        <w:t xml:space="preserve"> </w:t>
      </w:r>
      <w:r>
        <w:rPr>
          <w:b/>
          <w:bCs/>
        </w:rPr>
        <w:t xml:space="preserve">3.5%–4.0% of sales</w:t>
      </w:r>
      <w:r>
        <w:t xml:space="preserve">, heavily weighted toward the remaining quarters.</w:t>
      </w:r>
    </w:p>
    <w:p>
      <w:pPr>
        <w:pStyle w:val="Compact"/>
        <w:numPr>
          <w:ilvl w:val="0"/>
          <w:numId w:val="1012"/>
        </w:numPr>
      </w:pPr>
      <w:r>
        <w:t xml:space="preserve">Shipyard investment is necessary to support submarine throughput.</w:t>
      </w:r>
    </w:p>
    <w:p>
      <w:pPr>
        <w:pStyle w:val="Compact"/>
        <w:numPr>
          <w:ilvl w:val="0"/>
          <w:numId w:val="1012"/>
        </w:numPr>
      </w:pPr>
      <w:r>
        <w:t xml:space="preserve">The company had $500 million of notes maturing in June and another $500 million in August.</w:t>
      </w:r>
    </w:p>
    <w:p>
      <w:pPr>
        <w:pStyle w:val="Compact"/>
        <w:numPr>
          <w:ilvl w:val="0"/>
          <w:numId w:val="1012"/>
        </w:numPr>
      </w:pPr>
      <w:r>
        <w:t xml:space="preserve">Repurchases have largely been limited to offsetting compensation-related dilution.</w:t>
      </w:r>
    </w:p>
    <w:p>
      <w:pPr>
        <w:pStyle w:val="Compact"/>
        <w:numPr>
          <w:ilvl w:val="0"/>
          <w:numId w:val="1012"/>
        </w:numPr>
      </w:pPr>
      <w:r>
        <w:t xml:space="preserve">The dividend remains a central part of the capital-return framework.</w:t>
      </w:r>
    </w:p>
    <w:p>
      <w:pPr>
        <w:pStyle w:val="FirstParagraph"/>
      </w:pPr>
      <w:r>
        <w:t xml:space="preserve">A sequential decline in Q2 free cash flow should therefore be expected. The relevant test is whether management maintains 100% full-year conversion and whether elevated capital spending is translating into better operational throughput.</w:t>
      </w:r>
    </w:p>
    <w:p>
      <w:r>
        <w:pict>
          <v:rect style="width:0;height:1.5pt" o:hralign="center" o:hrstd="t" o:hr="t"/>
        </w:pict>
      </w:r>
    </w:p>
    <w:bookmarkEnd w:id="27"/>
    <w:bookmarkEnd w:id="28"/>
    <w:bookmarkStart w:id="29" w:name="X42e96cd346cfa904c7203b04f651d85a2d8e2a7"/>
    <w:p>
      <w:pPr>
        <w:pStyle w:val="Heading2"/>
      </w:pPr>
      <w:r>
        <w:t xml:space="preserve">7. Backlog quality matters more than another record</w:t>
      </w:r>
    </w:p>
    <w:p>
      <w:pPr>
        <w:pStyle w:val="FirstParagraph"/>
      </w:pPr>
      <w:r>
        <w:t xml:space="preserve">Q1 backlog increased to</w:t>
      </w:r>
      <w:r>
        <w:t xml:space="preserve"> </w:t>
      </w:r>
      <w:r>
        <w:rPr>
          <w:b/>
          <w:bCs/>
        </w:rPr>
        <w:t xml:space="preserve">$130.8 billion</w:t>
      </w:r>
      <w:r>
        <w:t xml:space="preserve">, up 11% sequentially, largely because of a</w:t>
      </w:r>
      <w:r>
        <w:t xml:space="preserve"> </w:t>
      </w:r>
      <m:oMath>
        <m:r>
          <m:t>15.4</m:t>
        </m:r>
        <m:r>
          <m:t>b</m:t>
        </m:r>
        <m:r>
          <m:t>i</m:t>
        </m:r>
        <m:r>
          <m:t>l</m:t>
        </m:r>
        <m:r>
          <m:t>l</m:t>
        </m:r>
        <m:r>
          <m:t>i</m:t>
        </m:r>
        <m:r>
          <m:t>o</m:t>
        </m:r>
        <m:r>
          <m:t>n</m:t>
        </m:r>
        <m:r>
          <m:t>C</m:t>
        </m:r>
        <m:r>
          <m:t>o</m:t>
        </m:r>
        <m:r>
          <m:t>l</m:t>
        </m:r>
        <m:r>
          <m:t>u</m:t>
        </m:r>
        <m:r>
          <m:t>m</m:t>
        </m:r>
        <m:r>
          <m:t>b</m:t>
        </m:r>
        <m:r>
          <m:t>i</m:t>
        </m:r>
        <m:r>
          <m:t>a</m:t>
        </m:r>
        <m:r>
          <m:rPr>
            <m:sty m:val="p"/>
          </m:rPr>
          <m:t>−</m:t>
        </m:r>
        <m:r>
          <m:t>c</m:t>
        </m:r>
        <m:r>
          <m:t>l</m:t>
        </m:r>
        <m:r>
          <m:t>a</m:t>
        </m:r>
        <m:r>
          <m:t>s</m:t>
        </m:r>
        <m:r>
          <m:t>s</m:t>
        </m:r>
        <m:r>
          <m:t>a</m:t>
        </m:r>
        <m:r>
          <m:t>w</m:t>
        </m:r>
        <m:r>
          <m:t>a</m:t>
        </m:r>
        <m:r>
          <m:t>r</m:t>
        </m:r>
        <m:r>
          <m:t>d</m:t>
        </m:r>
        <m:r>
          <m:rPr>
            <m:sty m:val="p"/>
          </m:rPr>
          <m:t>.</m:t>
        </m:r>
        <m:r>
          <m:t>T</m:t>
        </m:r>
        <m:r>
          <m:t>o</m:t>
        </m:r>
        <m:r>
          <m:t>t</m:t>
        </m:r>
        <m:r>
          <m:t>a</m:t>
        </m:r>
        <m:r>
          <m:t>l</m:t>
        </m:r>
        <m:r>
          <m:t>e</m:t>
        </m:r>
        <m:r>
          <m:t>s</m:t>
        </m:r>
        <m:r>
          <m:t>t</m:t>
        </m:r>
        <m:r>
          <m:t>i</m:t>
        </m:r>
        <m:r>
          <m:t>m</m:t>
        </m:r>
        <m:r>
          <m:t>a</m:t>
        </m:r>
        <m:r>
          <m:t>t</m:t>
        </m:r>
        <m:r>
          <m:t>e</m:t>
        </m:r>
        <m:r>
          <m:t>d</m:t>
        </m:r>
        <m:r>
          <m:t>c</m:t>
        </m:r>
        <m:r>
          <m:t>o</m:t>
        </m:r>
        <m:r>
          <m:t>n</m:t>
        </m:r>
        <m:r>
          <m:t>t</m:t>
        </m:r>
        <m:r>
          <m:t>r</m:t>
        </m:r>
        <m:r>
          <m:t>a</m:t>
        </m:r>
        <m:r>
          <m:t>c</m:t>
        </m:r>
        <m:r>
          <m:t>t</m:t>
        </m:r>
        <m:r>
          <m:t>v</m:t>
        </m:r>
        <m:r>
          <m:t>a</m:t>
        </m:r>
        <m:r>
          <m:t>l</m:t>
        </m:r>
        <m:r>
          <m:t>u</m:t>
        </m:r>
        <m:r>
          <m:t>e</m:t>
        </m:r>
        <m:r>
          <m:t>r</m:t>
        </m:r>
        <m:r>
          <m:t>e</m:t>
        </m:r>
        <m:r>
          <m:t>a</m:t>
        </m:r>
        <m:r>
          <m:t>c</m:t>
        </m:r>
        <m:r>
          <m:t>h</m:t>
        </m:r>
        <m:r>
          <m:t>e</m:t>
        </m:r>
        <m:r>
          <m:t>d</m:t>
        </m:r>
        <m:r>
          <m:rPr>
            <m:sty m:val="p"/>
          </m:rPr>
          <m:t>*</m:t>
        </m:r>
        <m:r>
          <m:rPr>
            <m:sty m:val="p"/>
          </m:rPr>
          <m:t>*</m:t>
        </m:r>
      </m:oMath>
      <w:r>
        <w:t xml:space="preserve">188.4 billion**.</w:t>
      </w:r>
    </w:p>
    <w:p>
      <w:pPr>
        <w:pStyle w:val="BodyText"/>
      </w:pPr>
      <w:r>
        <w:t xml:space="preserve">Because that increase was driven by a major award, Q2 bookings may look less dramatic. Investors should focus on the composition of orders:</w:t>
      </w:r>
    </w:p>
    <w:p>
      <w:pPr>
        <w:pStyle w:val="Compact"/>
        <w:numPr>
          <w:ilvl w:val="0"/>
          <w:numId w:val="1013"/>
        </w:numPr>
      </w:pPr>
      <w:r>
        <w:t xml:space="preserve">Gulfstream book-to-bill and geographic demand.</w:t>
      </w:r>
    </w:p>
    <w:p>
      <w:pPr>
        <w:pStyle w:val="Compact"/>
        <w:numPr>
          <w:ilvl w:val="0"/>
          <w:numId w:val="1013"/>
        </w:numPr>
      </w:pPr>
      <w:r>
        <w:t xml:space="preserve">Incremental submarine funding and contract options.</w:t>
      </w:r>
    </w:p>
    <w:p>
      <w:pPr>
        <w:pStyle w:val="Compact"/>
        <w:numPr>
          <w:ilvl w:val="0"/>
          <w:numId w:val="1013"/>
        </w:numPr>
      </w:pPr>
      <w:r>
        <w:t xml:space="preserve">International combat-vehicle awards.</w:t>
      </w:r>
    </w:p>
    <w:p>
      <w:pPr>
        <w:pStyle w:val="Compact"/>
        <w:numPr>
          <w:ilvl w:val="0"/>
          <w:numId w:val="1013"/>
        </w:numPr>
      </w:pPr>
      <w:r>
        <w:t xml:space="preserve">Munitions production contracts.</w:t>
      </w:r>
    </w:p>
    <w:p>
      <w:pPr>
        <w:pStyle w:val="Compact"/>
        <w:numPr>
          <w:ilvl w:val="0"/>
          <w:numId w:val="1013"/>
        </w:numPr>
      </w:pPr>
      <w:r>
        <w:t xml:space="preserve">GDIT and Mission Systems awards tied to AI, cyber, space and strategic deterrence.</w:t>
      </w:r>
    </w:p>
    <w:p>
      <w:pPr>
        <w:pStyle w:val="FirstParagraph"/>
      </w:pPr>
      <w:r>
        <w:t xml:space="preserve">Stable backlog after the Q1 surge would be acceptable. A meaningful decline in Aerospace backlog or weak Technologies awards would deserve more scrutiny.</w:t>
      </w:r>
    </w:p>
    <w:p>
      <w:r>
        <w:pict>
          <v:rect style="width:0;height:1.5pt" o:hralign="center" o:hrstd="t" o:hr="t"/>
        </w:pict>
      </w:r>
    </w:p>
    <w:bookmarkEnd w:id="29"/>
    <w:bookmarkStart w:id="30" w:name="key-risks"/>
    <w:p>
      <w:pPr>
        <w:pStyle w:val="Heading2"/>
      </w:pPr>
      <w:r>
        <w:t xml:space="preserve">Key risks</w:t>
      </w:r>
    </w:p>
    <w:p>
      <w:pPr>
        <w:pStyle w:val="Compact"/>
        <w:numPr>
          <w:ilvl w:val="0"/>
          <w:numId w:val="1014"/>
        </w:numPr>
      </w:pPr>
      <w:r>
        <w:rPr>
          <w:b/>
          <w:bCs/>
        </w:rPr>
        <w:t xml:space="preserve">Gulfstream supply chain:</w:t>
      </w:r>
      <w:r>
        <w:t xml:space="preserve"> </w:t>
      </w:r>
      <w:r>
        <w:t xml:space="preserve">Production plans depend on suppliers increasing output, including G280 airframes produced in Israel.</w:t>
      </w:r>
    </w:p>
    <w:p>
      <w:pPr>
        <w:pStyle w:val="Compact"/>
        <w:numPr>
          <w:ilvl w:val="0"/>
          <w:numId w:val="1014"/>
        </w:numPr>
      </w:pPr>
      <w:r>
        <w:rPr>
          <w:b/>
          <w:bCs/>
        </w:rPr>
        <w:t xml:space="preserve">Middle East disruption:</w:t>
      </w:r>
      <w:r>
        <w:t xml:space="preserve"> </w:t>
      </w:r>
      <w:r>
        <w:t xml:space="preserve">Conflict may affect both aircraft demand and component availability.</w:t>
      </w:r>
    </w:p>
    <w:p>
      <w:pPr>
        <w:pStyle w:val="Compact"/>
        <w:numPr>
          <w:ilvl w:val="0"/>
          <w:numId w:val="1014"/>
        </w:numPr>
      </w:pPr>
      <w:r>
        <w:rPr>
          <w:b/>
          <w:bCs/>
        </w:rPr>
        <w:t xml:space="preserve">Submarine supplier performance:</w:t>
      </w:r>
      <w:r>
        <w:t xml:space="preserve"> </w:t>
      </w:r>
      <w:r>
        <w:t xml:space="preserve">Single-source suppliers, late material and quality defects can disrupt shipyard workflow.</w:t>
      </w:r>
    </w:p>
    <w:p>
      <w:pPr>
        <w:pStyle w:val="Compact"/>
        <w:numPr>
          <w:ilvl w:val="0"/>
          <w:numId w:val="1014"/>
        </w:numPr>
      </w:pPr>
      <w:r>
        <w:rPr>
          <w:b/>
          <w:bCs/>
        </w:rPr>
        <w:t xml:space="preserve">Marine contract adjustments:</w:t>
      </w:r>
      <w:r>
        <w:t xml:space="preserve"> </w:t>
      </w:r>
      <w:r>
        <w:t xml:space="preserve">Changes in estimated completion costs can create uneven quarterly margins.</w:t>
      </w:r>
    </w:p>
    <w:p>
      <w:pPr>
        <w:pStyle w:val="Compact"/>
        <w:numPr>
          <w:ilvl w:val="0"/>
          <w:numId w:val="1014"/>
        </w:numPr>
      </w:pPr>
      <w:r>
        <w:rPr>
          <w:b/>
          <w:bCs/>
        </w:rPr>
        <w:t xml:space="preserve">U.S. combat-vehicle transition:</w:t>
      </w:r>
      <w:r>
        <w:t xml:space="preserve"> </w:t>
      </w:r>
      <w:r>
        <w:t xml:space="preserve">Lower volumes may precede meaningful revenue from next-generation programs.</w:t>
      </w:r>
    </w:p>
    <w:p>
      <w:pPr>
        <w:pStyle w:val="Compact"/>
        <w:numPr>
          <w:ilvl w:val="0"/>
          <w:numId w:val="1014"/>
        </w:numPr>
      </w:pPr>
      <w:r>
        <w:rPr>
          <w:b/>
          <w:bCs/>
        </w:rPr>
        <w:t xml:space="preserve">Federal award delays:</w:t>
      </w:r>
      <w:r>
        <w:t xml:space="preserve"> </w:t>
      </w:r>
      <w:r>
        <w:t xml:space="preserve">Slow adjudications can pressure GDIT revenue despite healthy demand.</w:t>
      </w:r>
    </w:p>
    <w:p>
      <w:pPr>
        <w:pStyle w:val="Compact"/>
        <w:numPr>
          <w:ilvl w:val="0"/>
          <w:numId w:val="1014"/>
        </w:numPr>
      </w:pPr>
      <w:r>
        <w:rPr>
          <w:b/>
          <w:bCs/>
        </w:rPr>
        <w:t xml:space="preserve">Execution during heavy investment:</w:t>
      </w:r>
      <w:r>
        <w:t xml:space="preserve"> </w:t>
      </w:r>
      <w:r>
        <w:t xml:space="preserve">Higher capital spending must ultimately produce greater throughput and cash returns.</w:t>
      </w:r>
    </w:p>
    <w:p>
      <w:pPr>
        <w:pStyle w:val="Compact"/>
        <w:numPr>
          <w:ilvl w:val="0"/>
          <w:numId w:val="1014"/>
        </w:numPr>
      </w:pPr>
      <w:r>
        <w:rPr>
          <w:b/>
          <w:bCs/>
        </w:rPr>
        <w:t xml:space="preserve">Valuation:</w:t>
      </w:r>
      <w:r>
        <w:t xml:space="preserve"> </w:t>
      </w:r>
      <w:r>
        <w:t xml:space="preserve">At roughly 24 times current-year guidance, the shares have less tolerance for an ordinary quarter or cautious outlook.</w:t>
      </w:r>
    </w:p>
    <w:p>
      <w:r>
        <w:pict>
          <v:rect style="width:0;height:1.5pt" o:hralign="center" o:hrstd="t" o:hr="t"/>
        </w:pict>
      </w:r>
    </w:p>
    <w:bookmarkEnd w:id="30"/>
    <w:bookmarkStart w:id="31" w:name="what-would-constitute-a-strong-report"/>
    <w:p>
      <w:pPr>
        <w:pStyle w:val="Heading2"/>
      </w:pPr>
      <w:r>
        <w:t xml:space="preserve">What would constitute a strong report?</w:t>
      </w:r>
    </w:p>
    <w:p>
      <w:pPr>
        <w:pStyle w:val="FirstParagraph"/>
      </w:pPr>
      <w:r>
        <w:t xml:space="preserve">A clearly positive result would likely include most of the following:</w:t>
      </w:r>
    </w:p>
    <w:p>
      <w:pPr>
        <w:pStyle w:val="Compact"/>
        <w:numPr>
          <w:ilvl w:val="0"/>
          <w:numId w:val="1015"/>
        </w:numPr>
      </w:pPr>
      <w:r>
        <w:t xml:space="preserve">Roughly</w:t>
      </w:r>
      <w:r>
        <w:t xml:space="preserve"> </w:t>
      </w:r>
      <w:r>
        <w:rPr>
          <w:b/>
          <w:bCs/>
        </w:rPr>
        <w:t xml:space="preserve">38 Gulfstream deliveries</w:t>
      </w:r>
      <w:r>
        <w:t xml:space="preserve">.</w:t>
      </w:r>
    </w:p>
    <w:p>
      <w:pPr>
        <w:pStyle w:val="Compact"/>
        <w:numPr>
          <w:ilvl w:val="0"/>
          <w:numId w:val="1015"/>
        </w:numPr>
      </w:pPr>
      <w:r>
        <w:t xml:space="preserve">Aerospace margin near</w:t>
      </w:r>
      <w:r>
        <w:t xml:space="preserve"> </w:t>
      </w:r>
      <w:r>
        <w:rPr>
          <w:b/>
          <w:bCs/>
        </w:rPr>
        <w:t xml:space="preserve">15%</w:t>
      </w:r>
      <w:r>
        <w:t xml:space="preserve">.</w:t>
      </w:r>
    </w:p>
    <w:p>
      <w:pPr>
        <w:pStyle w:val="Compact"/>
        <w:numPr>
          <w:ilvl w:val="0"/>
          <w:numId w:val="1015"/>
        </w:numPr>
      </w:pPr>
      <w:r>
        <w:t xml:space="preserve">Gulfstream book-to-bill around or above</w:t>
      </w:r>
      <w:r>
        <w:t xml:space="preserve"> </w:t>
      </w:r>
      <w:r>
        <w:rPr>
          <w:b/>
          <w:bCs/>
        </w:rPr>
        <w:t xml:space="preserve">1.0</w:t>
      </w:r>
      <w:r>
        <w:t xml:space="preserve">.</w:t>
      </w:r>
    </w:p>
    <w:p>
      <w:pPr>
        <w:pStyle w:val="Compact"/>
        <w:numPr>
          <w:ilvl w:val="0"/>
          <w:numId w:val="1015"/>
        </w:numPr>
      </w:pPr>
      <w:r>
        <w:t xml:space="preserve">Marine revenue growth in the high teens or better.</w:t>
      </w:r>
    </w:p>
    <w:p>
      <w:pPr>
        <w:pStyle w:val="Compact"/>
        <w:numPr>
          <w:ilvl w:val="0"/>
          <w:numId w:val="1015"/>
        </w:numPr>
      </w:pPr>
      <w:r>
        <w:t xml:space="preserve">Marine margin at least</w:t>
      </w:r>
      <w:r>
        <w:t xml:space="preserve"> </w:t>
      </w:r>
      <w:r>
        <w:rPr>
          <w:b/>
          <w:bCs/>
        </w:rPr>
        <w:t xml:space="preserve">7.3%</w:t>
      </w:r>
      <w:r>
        <w:t xml:space="preserve">.</w:t>
      </w:r>
    </w:p>
    <w:p>
      <w:pPr>
        <w:pStyle w:val="Compact"/>
        <w:numPr>
          <w:ilvl w:val="0"/>
          <w:numId w:val="1015"/>
        </w:numPr>
      </w:pPr>
      <w:r>
        <w:t xml:space="preserve">Continued munitions and international vehicle growth.</w:t>
      </w:r>
    </w:p>
    <w:p>
      <w:pPr>
        <w:pStyle w:val="Compact"/>
        <w:numPr>
          <w:ilvl w:val="0"/>
          <w:numId w:val="1015"/>
        </w:numPr>
      </w:pPr>
      <w:r>
        <w:t xml:space="preserve">Technologies margin around</w:t>
      </w:r>
      <w:r>
        <w:t xml:space="preserve"> </w:t>
      </w:r>
      <w:r>
        <w:rPr>
          <w:b/>
          <w:bCs/>
        </w:rPr>
        <w:t xml:space="preserve">9.5%</w:t>
      </w:r>
      <w:r>
        <w:t xml:space="preserve"> </w:t>
      </w:r>
      <w:r>
        <w:t xml:space="preserve">with better GDIT award activity.</w:t>
      </w:r>
    </w:p>
    <w:p>
      <w:pPr>
        <w:pStyle w:val="Compact"/>
        <w:numPr>
          <w:ilvl w:val="0"/>
          <w:numId w:val="1015"/>
        </w:numPr>
      </w:pPr>
      <w:r>
        <w:t xml:space="preserve">Reaffirmed 100% full-year free-cash-flow conversion.</w:t>
      </w:r>
    </w:p>
    <w:p>
      <w:pPr>
        <w:pStyle w:val="Compact"/>
        <w:numPr>
          <w:ilvl w:val="0"/>
          <w:numId w:val="1015"/>
        </w:numPr>
      </w:pPr>
      <w:r>
        <w:t xml:space="preserve">An EPS guidance increase and higher segment forecasts.</w:t>
      </w:r>
    </w:p>
    <w:bookmarkEnd w:id="31"/>
    <w:bookmarkStart w:id="32" w:name="bottom-line"/>
    <w:p>
      <w:pPr>
        <w:pStyle w:val="Heading2"/>
      </w:pPr>
      <w:r>
        <w:t xml:space="preserve">Bottom line</w:t>
      </w:r>
    </w:p>
    <w:p>
      <w:pPr>
        <w:pStyle w:val="FirstParagraph"/>
      </w:pPr>
      <w:r>
        <w:t xml:space="preserve">GD’s fundamental setup remains attractive: Gulfstream profitability is improving, submarine throughput is accelerating, international defense demand is strong, and the company has a record backlog.</w:t>
      </w:r>
    </w:p>
    <w:p>
      <w:pPr>
        <w:pStyle w:val="BodyText"/>
      </w:pPr>
      <w:r>
        <w:t xml:space="preserve">The challenge is expectations. Following Q1’s beat and the stock’s substantial rally, investors are unlikely to reward GD simply for producing another solid quarter. The report needs to demonstrate that Q1 was not a high point—particularly in Aerospace margins and Marine execution—and that the current</w:t>
      </w:r>
      <w:r>
        <w:t xml:space="preserve"> </w:t>
      </w:r>
      <m:oMath>
        <m:r>
          <m:t>16.45</m:t>
        </m:r>
        <m:r>
          <m:rPr>
            <m:sty m:val="p"/>
          </m:rPr>
          <m:t>–</m:t>
        </m:r>
      </m:oMath>
      <w:r>
        <w:rPr>
          <w:b/>
          <w:bCs/>
        </w:rPr>
        <w:t xml:space="preserve">16.55</w:t>
      </w:r>
      <w:r>
        <w:t xml:space="preserve"> </w:t>
      </w:r>
      <w:r>
        <w:t xml:space="preserve">EPS range remains conservative.</w:t>
      </w:r>
    </w:p>
    <w:p>
      <w:pPr>
        <w:pStyle w:val="BodyText"/>
      </w:pPr>
      <w:r>
        <w:t xml:space="preserve">The two most consequential figures will probably be</w:t>
      </w:r>
      <w:r>
        <w:t xml:space="preserve"> </w:t>
      </w:r>
      <w:r>
        <w:rPr>
          <w:b/>
          <w:bCs/>
        </w:rPr>
        <w:t xml:space="preserve">Aerospace operating margin</w:t>
      </w:r>
      <w:r>
        <w:t xml:space="preserve"> </w:t>
      </w:r>
      <w:r>
        <w:t xml:space="preserve">and the</w:t>
      </w:r>
      <w:r>
        <w:t xml:space="preserve"> </w:t>
      </w:r>
      <w:r>
        <w:rPr>
          <w:b/>
          <w:bCs/>
        </w:rPr>
        <w:t xml:space="preserve">revised full-year EPS outlook</w:t>
      </w:r>
      <w:r>
        <w:t xml:space="preserve">.</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2026-07-29T00:48:01Z</dcterms:created>
  <dcterms:modified xsi:type="dcterms:W3CDTF">2026-07-29T00:48:01Z</dcterms:modified>
</cp:coreProperties>
</file>

<file path=docProps/custom.xml><?xml version="1.0" encoding="utf-8"?>
<Properties xmlns="http://schemas.openxmlformats.org/officeDocument/2006/custom-properties" xmlns:vt="http://schemas.openxmlformats.org/officeDocument/2006/docPropsVTypes"/>
</file>