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870c3b54618855acdec9d29feceaed686326c29"/>
    <w:p>
      <w:pPr>
        <w:pStyle w:val="Heading1"/>
      </w:pPr>
      <w:r>
        <w:t xml:space="preserve">General Dynamics (NYSE: GD) — 2Q26 Earnings Preview</w:t>
      </w:r>
    </w:p>
    <w:p>
      <w:pPr>
        <w:pStyle w:val="BlockText"/>
      </w:pPr>
      <w:r>
        <w:rPr>
          <w:b/>
          <w:bCs/>
        </w:rPr>
        <w:t xml:space="preserve">Timing note:</w:t>
      </w:r>
      <w:r>
        <w:t xml:space="preserve"> </w:t>
      </w:r>
      <w:r>
        <w:t xml:space="preserve">The event date provided is</w:t>
      </w:r>
      <w:r>
        <w:t xml:space="preserve"> </w:t>
      </w:r>
      <w:r>
        <w:rPr>
          <w:b/>
          <w:bCs/>
        </w:rPr>
        <w:t xml:space="preserve">Wednesday, July 29, 2026</w:t>
      </w:r>
      <w:r>
        <w:t xml:space="preserve">. As today is July 29, this is a</w:t>
      </w:r>
      <w:r>
        <w:t xml:space="preserve"> </w:t>
      </w:r>
      <w:r>
        <w:rPr>
          <w:b/>
          <w:bCs/>
        </w:rPr>
        <w:t xml:space="preserve">day-of earnings preview</w:t>
      </w:r>
      <w:r>
        <w:t xml:space="preserve">, rather than a preview for “tomorrow.”</w:t>
      </w:r>
    </w:p>
    <w:bookmarkStart w:id="9" w:name="investment-setup"/>
    <w:p>
      <w:pPr>
        <w:pStyle w:val="Heading2"/>
      </w:pPr>
      <w:r>
        <w:t xml:space="preserve">Investment setup</w:t>
      </w:r>
    </w:p>
    <w:p>
      <w:pPr>
        <w:pStyle w:val="FirstParagraph"/>
      </w:pPr>
      <w:r>
        <w:t xml:space="preserve">General Dynamics enters 2Q26 with operating momentum already evident in the first quarter: all four segments grew revenue, company revenue rose 10%, operating income grew 12%, and management lifted full-year EPS guidance. The core question for this report is therefore less whether demand is healthy—it plainly is—and more whether GD can demonstrate that</w:t>
      </w:r>
      <w:r>
        <w:t xml:space="preserve"> </w:t>
      </w:r>
      <w:r>
        <w:rPr>
          <w:b/>
          <w:bCs/>
        </w:rPr>
        <w:t xml:space="preserve">Aerospace margin strength and Marine throughput improvement are durable enough to support another increase in 2026 expectations.</w:t>
      </w:r>
    </w:p>
    <w:p>
      <w:pPr>
        <w:pStyle w:val="BodyText"/>
      </w:pPr>
      <w:r>
        <w:t xml:space="preserve">The shares closed at</w:t>
      </w:r>
      <w:r>
        <w:t xml:space="preserve"> </w:t>
      </w:r>
      <w:r>
        <w:rPr>
          <w:b/>
          <w:bCs/>
        </w:rPr>
        <w:t xml:space="preserve">$393.23 on July 28</w:t>
      </w:r>
      <w:r>
        <w:t xml:space="preserve">, up about</w:t>
      </w:r>
      <w:r>
        <w:t xml:space="preserve"> </w:t>
      </w:r>
      <w:r>
        <w:rPr>
          <w:b/>
          <w:bCs/>
        </w:rPr>
        <w:t xml:space="preserve">14.5% year to date</w:t>
      </w:r>
      <w:r>
        <w:t xml:space="preserve"> </w:t>
      </w:r>
      <w:r>
        <w:t xml:space="preserve">and roughly</w:t>
      </w:r>
      <w:r>
        <w:t xml:space="preserve"> </w:t>
      </w:r>
      <w:r>
        <w:rPr>
          <w:b/>
          <w:bCs/>
        </w:rPr>
        <w:t xml:space="preserve">25% since the day before the 1Q26 release</w:t>
      </w:r>
      <w:r>
        <w:t xml:space="preserve">. That makes the bar more demanding: a simple earnings beat may not be sufficient without confirmation of margin durability, cash conversion, delivery cadence, and backlog quality.</w:t>
      </w:r>
    </w:p>
    <w:bookmarkEnd w:id="9"/>
    <w:bookmarkStart w:id="10" w:name="X380c526508a42c954ba8c8209cbea198a451f3f"/>
    <w:p>
      <w:pPr>
        <w:pStyle w:val="Heading2"/>
      </w:pPr>
      <w:r>
        <w:t xml:space="preserve">The key debate: can GD sustain an earnings upgrade cycle?</w:t>
      </w:r>
    </w:p>
    <w:p>
      <w:pPr>
        <w:pStyle w:val="FirstParagraph"/>
      </w:pPr>
      <w:r>
        <w:t xml:space="preserve">Management raised 2026 diluted EPS guidance after 1Q from</w:t>
      </w:r>
      <w:r>
        <w:t xml:space="preserve"> </w:t>
      </w:r>
      <m:oMath>
        <m:r>
          <m:t>16.10</m:t>
        </m:r>
        <m:r>
          <m:rPr>
            <m:sty m:val="p"/>
          </m:rPr>
          <m:t>–</m:t>
        </m:r>
      </m:oMath>
      <w:r>
        <w:rPr>
          <w:b/>
          <w:bCs/>
        </w:rPr>
        <w:t xml:space="preserve">16.20</w:t>
      </w:r>
      <w:r>
        <w:t xml:space="preserve"> </w:t>
      </w:r>
      <w:r>
        <w:t xml:space="preserve">to</w:t>
      </w:r>
      <w:r>
        <w:t xml:space="preserve"> </w:t>
      </w:r>
      <m:oMath>
        <m:r>
          <m:t>16.45</m:t>
        </m:r>
        <m:r>
          <m:rPr>
            <m:sty m:val="p"/>
          </m:rPr>
          <m:t>–</m:t>
        </m:r>
      </m:oMath>
      <w:r>
        <w:rPr>
          <w:b/>
          <w:bCs/>
        </w:rPr>
        <w:t xml:space="preserve">16.55</w:t>
      </w:r>
      <w:r>
        <w:t xml:space="preserve">. At the $16.50 midpoint, that implies approximately</w:t>
      </w:r>
      <w:r>
        <w:t xml:space="preserve"> </w:t>
      </w:r>
      <w:r>
        <w:rPr>
          <w:b/>
          <w:bCs/>
        </w:rPr>
        <w:t xml:space="preserve">6.8% growth</w:t>
      </w:r>
      <w:r>
        <w:t xml:space="preserve"> </w:t>
      </w:r>
      <w:r>
        <w:t xml:space="preserve">from 2025 diluted EPS of $15.45.</w:t>
      </w:r>
    </w:p>
    <w:p>
      <w:pPr>
        <w:pStyle w:val="BodyText"/>
      </w:pPr>
      <w:r>
        <w:t xml:space="preserve">The 1Q result was considerably stronger than that modest full-year growth outlook might suggest: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1Q26 result</w:t>
            </w:r>
          </w:p>
        </w:tc>
        <w:tc>
          <w:tcPr/>
          <w:p>
            <w:pPr>
              <w:pStyle w:val="Compact"/>
              <w:jc w:val="right"/>
            </w:pPr>
            <w:r>
              <w:t xml:space="preserve">Year-over-year change</w:t>
            </w:r>
          </w:p>
        </w:tc>
      </w:tr>
      <w:tr>
        <w:tc>
          <w:tcPr/>
          <w:p>
            <w:pPr>
              <w:pStyle w:val="Compact"/>
            </w:pPr>
            <w:r>
              <w:t xml:space="preserve">Revenue</w:t>
            </w:r>
          </w:p>
        </w:tc>
        <w:tc>
          <w:tcPr/>
          <w:p>
            <w:pPr>
              <w:pStyle w:val="Compact"/>
              <w:jc w:val="right"/>
            </w:pPr>
            <w:r>
              <w:t xml:space="preserve">$13.48B,</w:t>
            </w:r>
            <w:r>
              <w:t xml:space="preserve"> </w:t>
            </w:r>
            <w:r>
              <w:rPr>
                <w:b/>
                <w:bCs/>
              </w:rPr>
              <w:t xml:space="preserve">+10.3%</w:t>
            </w:r>
          </w:p>
        </w:tc>
      </w:tr>
      <w:tr>
        <w:tc>
          <w:tcPr/>
          <w:p>
            <w:pPr>
              <w:pStyle w:val="Compact"/>
            </w:pPr>
            <w:r>
              <w:t xml:space="preserve">Operating earnings</w:t>
            </w:r>
          </w:p>
        </w:tc>
        <w:tc>
          <w:tcPr/>
          <w:p>
            <w:pPr>
              <w:pStyle w:val="Compact"/>
              <w:jc w:val="right"/>
            </w:pPr>
            <w:r>
              <w:t xml:space="preserve">$1.42B,</w:t>
            </w:r>
            <w:r>
              <w:t xml:space="preserve"> </w:t>
            </w:r>
            <w:r>
              <w:rPr>
                <w:b/>
                <w:bCs/>
              </w:rPr>
              <w:t xml:space="preserve">+12.0%</w:t>
            </w:r>
          </w:p>
        </w:tc>
      </w:tr>
      <w:tr>
        <w:tc>
          <w:tcPr/>
          <w:p>
            <w:pPr>
              <w:pStyle w:val="Compact"/>
            </w:pPr>
            <w:r>
              <w:t xml:space="preserve">Diluted EPS</w:t>
            </w:r>
          </w:p>
        </w:tc>
        <w:tc>
          <w:tcPr/>
          <w:p>
            <w:pPr>
              <w:pStyle w:val="Compact"/>
              <w:jc w:val="right"/>
            </w:pPr>
            <w:r>
              <w:t xml:space="preserve">$4.10,</w:t>
            </w:r>
            <w:r>
              <w:t xml:space="preserve"> </w:t>
            </w:r>
            <w:r>
              <w:rPr>
                <w:b/>
                <w:bCs/>
              </w:rPr>
              <w:t xml:space="preserve">+12.0%</w:t>
            </w:r>
          </w:p>
        </w:tc>
      </w:tr>
      <w:tr>
        <w:tc>
          <w:tcPr/>
          <w:p>
            <w:pPr>
              <w:pStyle w:val="Compact"/>
            </w:pPr>
            <w:r>
              <w:t xml:space="preserve">Operating margin</w:t>
            </w:r>
          </w:p>
        </w:tc>
        <w:tc>
          <w:tcPr/>
          <w:p>
            <w:pPr>
              <w:pStyle w:val="Compact"/>
              <w:jc w:val="right"/>
            </w:pPr>
            <w:r>
              <w:t xml:space="preserve">10.5%,</w:t>
            </w:r>
            <w:r>
              <w:t xml:space="preserve"> </w:t>
            </w:r>
            <w:r>
              <w:rPr>
                <w:b/>
                <w:bCs/>
              </w:rPr>
              <w:t xml:space="preserve">+10 bps</w:t>
            </w:r>
          </w:p>
        </w:tc>
      </w:tr>
      <w:tr>
        <w:tc>
          <w:tcPr/>
          <w:p>
            <w:pPr>
              <w:pStyle w:val="Compact"/>
            </w:pPr>
            <w:r>
              <w:t xml:space="preserve">Free cash flow</w:t>
            </w:r>
          </w:p>
        </w:tc>
        <w:tc>
          <w:tcPr/>
          <w:p>
            <w:pPr>
              <w:pStyle w:val="Compact"/>
              <w:jc w:val="right"/>
            </w:pPr>
            <w:r>
              <w:t xml:space="preserve">$1.95B, versus $(0.29)B in 1Q25</w:t>
            </w:r>
          </w:p>
        </w:tc>
      </w:tr>
      <w:tr>
        <w:tc>
          <w:tcPr/>
          <w:p>
            <w:pPr>
              <w:pStyle w:val="Compact"/>
            </w:pPr>
            <w:r>
              <w:t xml:space="preserve">Consolidated book-to-bill</w:t>
            </w:r>
          </w:p>
        </w:tc>
        <w:tc>
          <w:tcPr/>
          <w:p>
            <w:pPr>
              <w:pStyle w:val="Compact"/>
              <w:jc w:val="right"/>
            </w:pPr>
            <w:r>
              <w:t xml:space="preserve">2.0x</w:t>
            </w:r>
          </w:p>
        </w:tc>
      </w:tr>
      <w:tr>
        <w:tc>
          <w:tcPr/>
          <w:p>
            <w:pPr>
              <w:pStyle w:val="Compact"/>
            </w:pPr>
            <w:r>
              <w:t xml:space="preserve">Total backlog</w:t>
            </w:r>
          </w:p>
        </w:tc>
        <w:tc>
          <w:tcPr/>
          <w:p>
            <w:pPr>
              <w:pStyle w:val="Compact"/>
              <w:jc w:val="right"/>
            </w:pPr>
            <w:r>
              <w:t xml:space="preserve">$130.8B,</w:t>
            </w:r>
            <w:r>
              <w:t xml:space="preserve"> </w:t>
            </w:r>
            <w:r>
              <w:rPr>
                <w:b/>
                <w:bCs/>
              </w:rPr>
              <w:t xml:space="preserve">+48%</w:t>
            </w:r>
            <w:r>
              <w:t xml:space="preserve"> </w:t>
            </w:r>
            <w:r>
              <w:t xml:space="preserve">year over year</w:t>
            </w:r>
          </w:p>
        </w:tc>
      </w:tr>
    </w:tbl>
    <w:p>
      <w:pPr>
        <w:pStyle w:val="BodyText"/>
      </w:pPr>
      <w:r>
        <w:t xml:space="preserve">Management said it would complete a more detailed internal forecast during 2Q and provide greater segment detail on the July call. That makes guidance—not merely reported EPS—the most consequential output from this report.</w:t>
      </w:r>
    </w:p>
    <w:p>
      <w:pPr>
        <w:pStyle w:val="BodyText"/>
      </w:pPr>
      <w:r>
        <w:rPr>
          <w:b/>
          <w:bCs/>
        </w:rPr>
        <w:t xml:space="preserve">Bull case:</w:t>
      </w:r>
      <w:r>
        <w:t xml:space="preserve"> </w:t>
      </w:r>
      <w:r>
        <w:t xml:space="preserve">Guidance moves higher again, or at minimum management gives clear evidence that the current range is conservative.</w:t>
      </w:r>
      <w:r>
        <w:br/>
      </w:r>
      <w:r>
        <w:rPr>
          <w:b/>
          <w:bCs/>
        </w:rPr>
        <w:t xml:space="preserve">Bear case:</w:t>
      </w:r>
      <w:r>
        <w:t xml:space="preserve"> </w:t>
      </w:r>
      <w:r>
        <w:t xml:space="preserve">Guidance is maintained but management attributes 1Q upside largely to timing, working capital, or an unsustainably favorable Aerospace mix.</w:t>
      </w:r>
    </w:p>
    <w:p>
      <w:r>
        <w:pict>
          <v:rect style="width:0;height:1.5pt" o:hralign="center" o:hrstd="t" o:hr="t"/>
        </w:pict>
      </w:r>
    </w:p>
    <w:bookmarkEnd w:id="10"/>
    <w:bookmarkStart w:id="15" w:name="what-matters-most-in-2q26"/>
    <w:p>
      <w:pPr>
        <w:pStyle w:val="Heading2"/>
      </w:pPr>
      <w:r>
        <w:t xml:space="preserve">What matters most in 2Q26</w:t>
      </w:r>
    </w:p>
    <w:bookmarkStart w:id="11" w:name="Xc86288566737d1d9c4cc4bc34d4d7ebae4449f6"/>
    <w:p>
      <w:pPr>
        <w:pStyle w:val="Heading3"/>
      </w:pPr>
      <w:r>
        <w:t xml:space="preserve">1. Aerospace: Gulfstream margins, aircraft deliveries, and order conversion</w:t>
      </w:r>
    </w:p>
    <w:p>
      <w:pPr>
        <w:pStyle w:val="FirstParagraph"/>
      </w:pPr>
      <w:r>
        <w:t xml:space="preserve">Aerospace is likely the most important near-term earnings swing factor. In 1Q26, segment revenue increased</w:t>
      </w:r>
      <w:r>
        <w:t xml:space="preserve"> </w:t>
      </w:r>
      <w:r>
        <w:rPr>
          <w:b/>
          <w:bCs/>
        </w:rPr>
        <w:t xml:space="preserve">8.4%</w:t>
      </w:r>
      <w:r>
        <w:t xml:space="preserve"> </w:t>
      </w:r>
      <w:r>
        <w:t xml:space="preserve">and operating margin expanded</w:t>
      </w:r>
      <w:r>
        <w:t xml:space="preserve"> </w:t>
      </w:r>
      <w:r>
        <w:rPr>
          <w:b/>
          <w:bCs/>
        </w:rPr>
        <w:t xml:space="preserve">70 bps to 15.0%</w:t>
      </w:r>
      <w:r>
        <w:t xml:space="preserve">, driven by higher deliveries, aircraft-services growth, productivity gains, and favorable early performance on the G800.</w:t>
      </w:r>
    </w:p>
    <w:p>
      <w:pPr>
        <w:pStyle w:val="BodyText"/>
      </w:pPr>
      <w:r>
        <w:t xml:space="preserve">Management’s 1Q message was notably constructive:</w:t>
      </w:r>
    </w:p>
    <w:p>
      <w:pPr>
        <w:pStyle w:val="Compact"/>
        <w:numPr>
          <w:ilvl w:val="0"/>
          <w:numId w:val="1001"/>
        </w:numPr>
      </w:pPr>
      <w:r>
        <w:t xml:space="preserve">38 Gulfstream deliveries, including 31 large-cabin and seven mid-cabin aircraft.</w:t>
      </w:r>
    </w:p>
    <w:p>
      <w:pPr>
        <w:pStyle w:val="Compact"/>
        <w:numPr>
          <w:ilvl w:val="0"/>
          <w:numId w:val="1001"/>
        </w:numPr>
      </w:pPr>
      <w:r>
        <w:t xml:space="preserve">2Q delivery cadence expected to be broadly similar to 1Q, followed by higher 3Q and 4Q deliveries.</w:t>
      </w:r>
    </w:p>
    <w:p>
      <w:pPr>
        <w:pStyle w:val="Compact"/>
        <w:numPr>
          <w:ilvl w:val="0"/>
          <w:numId w:val="1001"/>
        </w:numPr>
      </w:pPr>
      <w:r>
        <w:t xml:space="preserve">The G800 was described as generating gross margins better than the G650 aircraft it replaced, despite being early in its production ramp.</w:t>
      </w:r>
    </w:p>
    <w:p>
      <w:pPr>
        <w:pStyle w:val="Compact"/>
        <w:numPr>
          <w:ilvl w:val="0"/>
          <w:numId w:val="1001"/>
        </w:numPr>
      </w:pPr>
      <w:r>
        <w:t xml:space="preserve">Aerospace book-to-bill was</w:t>
      </w:r>
      <w:r>
        <w:t xml:space="preserve"> </w:t>
      </w:r>
      <w:r>
        <w:rPr>
          <w:b/>
          <w:bCs/>
        </w:rPr>
        <w:t xml:space="preserve">1.2x</w:t>
      </w:r>
      <w:r>
        <w:t xml:space="preserve">, with strong U.S. demand, although some Middle East transactions slowed late in 1Q amid regional conflict.</w:t>
      </w:r>
    </w:p>
    <w:p>
      <w:pPr>
        <w:pStyle w:val="Compact"/>
        <w:numPr>
          <w:ilvl w:val="0"/>
          <w:numId w:val="1001"/>
        </w:numPr>
      </w:pPr>
      <w:r>
        <w:t xml:space="preserve">Management expects the supply chain broadly to keep pace, but has identified potential exposure at an Israel-based supplier of G280 mid-cabin airframes if disruption persists.</w:t>
      </w:r>
    </w:p>
    <w:p>
      <w:pPr>
        <w:pStyle w:val="FirstParagraph"/>
      </w:pPr>
      <w:r>
        <w:rPr>
          <w:b/>
          <w:bCs/>
        </w:rPr>
        <w:t xml:space="preserve">What investors should watch</w:t>
      </w:r>
    </w:p>
    <w:p>
      <w:pPr>
        <w:pStyle w:val="Compact"/>
        <w:numPr>
          <w:ilvl w:val="0"/>
          <w:numId w:val="1002"/>
        </w:numPr>
      </w:pPr>
      <w:r>
        <w:rPr>
          <w:b/>
          <w:bCs/>
        </w:rPr>
        <w:t xml:space="preserve">Deliveries:</w:t>
      </w:r>
      <w:r>
        <w:t xml:space="preserve"> </w:t>
      </w:r>
      <w:r>
        <w:t xml:space="preserve">2Q25 had 38 Gulfstream deliveries, so a similar delivery count in 2Q26 is broadly consistent with management’s stated cadence. Mix matters more than the headline figure.</w:t>
      </w:r>
    </w:p>
    <w:p>
      <w:pPr>
        <w:pStyle w:val="Compact"/>
        <w:numPr>
          <w:ilvl w:val="0"/>
          <w:numId w:val="1002"/>
        </w:numPr>
      </w:pPr>
      <w:r>
        <w:rPr>
          <w:b/>
          <w:bCs/>
        </w:rPr>
        <w:t xml:space="preserve">Margin:</w:t>
      </w:r>
      <w:r>
        <w:t xml:space="preserve"> </w:t>
      </w:r>
      <w:r>
        <w:t xml:space="preserve">The key question is whether Aerospace can remain near the 15% 1Q level, rather than reverting toward the 13.2% achieved in 2Q25.</w:t>
      </w:r>
    </w:p>
    <w:p>
      <w:pPr>
        <w:pStyle w:val="Compact"/>
        <w:numPr>
          <w:ilvl w:val="0"/>
          <w:numId w:val="1002"/>
        </w:numPr>
      </w:pPr>
      <w:r>
        <w:rPr>
          <w:b/>
          <w:bCs/>
        </w:rPr>
        <w:t xml:space="preserve">Orders/backlog:</w:t>
      </w:r>
      <w:r>
        <w:t xml:space="preserve"> </w:t>
      </w:r>
      <w:r>
        <w:t xml:space="preserve">A book-to-bill above 1x would validate the durability of demand and protect the production ramp. Any pronounced deceleration in Middle East demand would be a negative surprise.</w:t>
      </w:r>
    </w:p>
    <w:p>
      <w:pPr>
        <w:pStyle w:val="Compact"/>
        <w:numPr>
          <w:ilvl w:val="0"/>
          <w:numId w:val="1002"/>
        </w:numPr>
      </w:pPr>
      <w:r>
        <w:rPr>
          <w:b/>
          <w:bCs/>
        </w:rPr>
        <w:t xml:space="preserve">G280 supply-chain commentary:</w:t>
      </w:r>
      <w:r>
        <w:t xml:space="preserve"> </w:t>
      </w:r>
      <w:r>
        <w:t xml:space="preserve">This is likely a manageable issue at present, but an extended disruption could affect mix or deliveries later in the year.</w:t>
      </w:r>
    </w:p>
    <w:p>
      <w:pPr>
        <w:pStyle w:val="FirstParagraph"/>
      </w:pPr>
      <w:r>
        <w:rPr>
          <w:b/>
          <w:bCs/>
        </w:rPr>
        <w:t xml:space="preserve">Investor read-through:</w:t>
      </w:r>
      <w:r>
        <w:t xml:space="preserve"> </w:t>
      </w:r>
      <w:r>
        <w:t xml:space="preserve">Another quarter of high-teens profit growth and sustained mid-teens segment margin would make Aerospace a more durable earnings driver than the market may have assumed.</w:t>
      </w:r>
    </w:p>
    <w:p>
      <w:r>
        <w:pict>
          <v:rect style="width:0;height:1.5pt" o:hralign="center" o:hrstd="t" o:hr="t"/>
        </w:pict>
      </w:r>
    </w:p>
    <w:bookmarkEnd w:id="11"/>
    <w:bookmarkStart w:id="12" w:name="Xccc8b0f1ed70b6c8cfe58f3de93b3cc6f68014a"/>
    <w:p>
      <w:pPr>
        <w:pStyle w:val="Heading3"/>
      </w:pPr>
      <w:r>
        <w:t xml:space="preserve">2. Marine Systems: execution is more important than demand</w:t>
      </w:r>
    </w:p>
    <w:p>
      <w:pPr>
        <w:pStyle w:val="FirstParagraph"/>
      </w:pPr>
      <w:r>
        <w:t xml:space="preserve">Marine is GD’s largest source of backlog and arguably the company’s most strategically valuable long-duration growth platform. The issue is not order availability; it is whether shipyard labor, material availability, and supplier cadence can support the required production trajectory.</w:t>
      </w:r>
    </w:p>
    <w:p>
      <w:pPr>
        <w:pStyle w:val="BodyText"/>
      </w:pPr>
      <w:r>
        <w:t xml:space="preserve">Marine Systems delivered a standout 1Q:</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Marine Systems 1Q26</w:t>
            </w:r>
          </w:p>
        </w:tc>
        <w:tc>
          <w:tcPr/>
          <w:p>
            <w:pPr>
              <w:pStyle w:val="Compact"/>
              <w:jc w:val="right"/>
            </w:pPr>
            <w:r>
              <w:t xml:space="preserve">Result</w:t>
            </w:r>
          </w:p>
        </w:tc>
      </w:tr>
      <w:tr>
        <w:tc>
          <w:tcPr/>
          <w:p>
            <w:pPr>
              <w:pStyle w:val="Compact"/>
            </w:pPr>
            <w:r>
              <w:t xml:space="preserve">Revenue</w:t>
            </w:r>
          </w:p>
        </w:tc>
        <w:tc>
          <w:tcPr/>
          <w:p>
            <w:pPr>
              <w:pStyle w:val="Compact"/>
              <w:jc w:val="right"/>
            </w:pPr>
            <w:r>
              <w:t xml:space="preserve">$4.34B,</w:t>
            </w:r>
            <w:r>
              <w:t xml:space="preserve"> </w:t>
            </w:r>
            <w:r>
              <w:rPr>
                <w:b/>
                <w:bCs/>
              </w:rPr>
              <w:t xml:space="preserve">+21.0%</w:t>
            </w:r>
          </w:p>
        </w:tc>
      </w:tr>
      <w:tr>
        <w:tc>
          <w:tcPr/>
          <w:p>
            <w:pPr>
              <w:pStyle w:val="Compact"/>
            </w:pPr>
            <w:r>
              <w:t xml:space="preserve">Operating earnings</w:t>
            </w:r>
          </w:p>
        </w:tc>
        <w:tc>
          <w:tcPr/>
          <w:p>
            <w:pPr>
              <w:pStyle w:val="Compact"/>
              <w:jc w:val="right"/>
            </w:pPr>
            <w:r>
              <w:t xml:space="preserve">$316M,</w:t>
            </w:r>
            <w:r>
              <w:t xml:space="preserve"> </w:t>
            </w:r>
            <w:r>
              <w:rPr>
                <w:b/>
                <w:bCs/>
              </w:rPr>
              <w:t xml:space="preserve">+26.4%</w:t>
            </w:r>
          </w:p>
        </w:tc>
      </w:tr>
      <w:tr>
        <w:tc>
          <w:tcPr/>
          <w:p>
            <w:pPr>
              <w:pStyle w:val="Compact"/>
            </w:pPr>
            <w:r>
              <w:t xml:space="preserve">Operating margin</w:t>
            </w:r>
          </w:p>
        </w:tc>
        <w:tc>
          <w:tcPr/>
          <w:p>
            <w:pPr>
              <w:pStyle w:val="Compact"/>
              <w:jc w:val="right"/>
            </w:pPr>
            <w:r>
              <w:t xml:space="preserve">7.3%,</w:t>
            </w:r>
            <w:r>
              <w:t xml:space="preserve"> </w:t>
            </w:r>
            <w:r>
              <w:rPr>
                <w:b/>
                <w:bCs/>
              </w:rPr>
              <w:t xml:space="preserve">+30 bps</w:t>
            </w:r>
          </w:p>
        </w:tc>
      </w:tr>
      <w:tr>
        <w:tc>
          <w:tcPr/>
          <w:p>
            <w:pPr>
              <w:pStyle w:val="Compact"/>
            </w:pPr>
            <w:r>
              <w:t xml:space="preserve">Total backlog</w:t>
            </w:r>
          </w:p>
        </w:tc>
        <w:tc>
          <w:tcPr/>
          <w:p>
            <w:pPr>
              <w:pStyle w:val="Compact"/>
              <w:jc w:val="right"/>
            </w:pPr>
            <w:r>
              <w:t xml:space="preserve">$64.0B</w:t>
            </w:r>
          </w:p>
        </w:tc>
      </w:tr>
      <w:tr>
        <w:tc>
          <w:tcPr/>
          <w:p>
            <w:pPr>
              <w:pStyle w:val="Compact"/>
            </w:pPr>
            <w:r>
              <w:t xml:space="preserve">Total estimated contract value</w:t>
            </w:r>
          </w:p>
        </w:tc>
        <w:tc>
          <w:tcPr/>
          <w:p>
            <w:pPr>
              <w:pStyle w:val="Compact"/>
              <w:jc w:val="right"/>
            </w:pPr>
            <w:r>
              <w:t xml:space="preserve">$76.5B</w:t>
            </w:r>
          </w:p>
        </w:tc>
      </w:tr>
    </w:tbl>
    <w:p>
      <w:pPr>
        <w:pStyle w:val="BodyText"/>
      </w:pPr>
      <w:r>
        <w:t xml:space="preserve">The 1Q backlog increase was fueled by a</w:t>
      </w:r>
      <w:r>
        <w:t xml:space="preserve"> </w:t>
      </w:r>
      <w:r>
        <w:rPr>
          <w:b/>
          <w:bCs/>
        </w:rPr>
        <w:t xml:space="preserve">$15.4B Columbia-class award</w:t>
      </w:r>
      <w:r>
        <w:t xml:space="preserve"> </w:t>
      </w:r>
      <w:r>
        <w:t xml:space="preserve">for continuing design and support work. Revenue growth came primarily from increased material and labor volume on the Columbia- and Virginia-class submarine programs, plus higher throughput at NASSCO.</w:t>
      </w:r>
    </w:p>
    <w:p>
      <w:pPr>
        <w:pStyle w:val="BodyText"/>
      </w:pPr>
      <w:r>
        <w:t xml:space="preserve">Management cited encouraging operating markers:</w:t>
      </w:r>
    </w:p>
    <w:p>
      <w:pPr>
        <w:pStyle w:val="Compact"/>
        <w:numPr>
          <w:ilvl w:val="0"/>
          <w:numId w:val="1003"/>
        </w:numPr>
      </w:pPr>
      <w:r>
        <w:t xml:space="preserve">Columbia-class earned hours up 29% year over year.</w:t>
      </w:r>
    </w:p>
    <w:p>
      <w:pPr>
        <w:pStyle w:val="Compact"/>
        <w:numPr>
          <w:ilvl w:val="0"/>
          <w:numId w:val="1003"/>
        </w:numPr>
      </w:pPr>
      <w:r>
        <w:t xml:space="preserve">Sequence-critical material receipts up 52% year over year.</w:t>
      </w:r>
    </w:p>
    <w:p>
      <w:pPr>
        <w:pStyle w:val="Compact"/>
        <w:numPr>
          <w:ilvl w:val="0"/>
          <w:numId w:val="1003"/>
        </w:numPr>
      </w:pPr>
      <w:r>
        <w:t xml:space="preserve">Continued improvement in efficiency and schedule performance at Bath Iron Works.</w:t>
      </w:r>
    </w:p>
    <w:p>
      <w:pPr>
        <w:pStyle w:val="Compact"/>
        <w:numPr>
          <w:ilvl w:val="0"/>
          <w:numId w:val="1003"/>
        </w:numPr>
      </w:pPr>
      <w:r>
        <w:t xml:space="preserve">A stated path toward the longer-term production objective of two Virginia-class submarines and one Columbia-class submarine annually—without committing to an exact timing.</w:t>
      </w:r>
    </w:p>
    <w:p>
      <w:pPr>
        <w:pStyle w:val="FirstParagraph"/>
      </w:pPr>
      <w:r>
        <w:rPr>
          <w:b/>
          <w:bCs/>
        </w:rPr>
        <w:t xml:space="preserve">What investors should watch</w:t>
      </w:r>
    </w:p>
    <w:p>
      <w:pPr>
        <w:pStyle w:val="Compact"/>
        <w:numPr>
          <w:ilvl w:val="0"/>
          <w:numId w:val="1004"/>
        </w:numPr>
      </w:pPr>
      <w:r>
        <w:rPr>
          <w:b/>
          <w:bCs/>
        </w:rPr>
        <w:t xml:space="preserve">Revenue growth versus 1Q’s 21% pace:</w:t>
      </w:r>
      <w:r>
        <w:t xml:space="preserve"> </w:t>
      </w:r>
      <w:r>
        <w:t xml:space="preserve">A healthy continuation would support the view that throughput improvement is taking hold.</w:t>
      </w:r>
    </w:p>
    <w:p>
      <w:pPr>
        <w:pStyle w:val="Compact"/>
        <w:numPr>
          <w:ilvl w:val="0"/>
          <w:numId w:val="1004"/>
        </w:numPr>
      </w:pPr>
      <w:r>
        <w:rPr>
          <w:b/>
          <w:bCs/>
        </w:rPr>
        <w:t xml:space="preserve">Margin progression:</w:t>
      </w:r>
      <w:r>
        <w:t xml:space="preserve"> </w:t>
      </w:r>
      <w:r>
        <w:t xml:space="preserve">Margin expansion matters more than revenue alone; investors will want evidence that higher output is not being purchased at the expense of profitability.</w:t>
      </w:r>
    </w:p>
    <w:p>
      <w:pPr>
        <w:pStyle w:val="Compact"/>
        <w:numPr>
          <w:ilvl w:val="0"/>
          <w:numId w:val="1004"/>
        </w:numPr>
      </w:pPr>
      <w:r>
        <w:rPr>
          <w:b/>
          <w:bCs/>
        </w:rPr>
        <w:t xml:space="preserve">Supplier and labor commentary:</w:t>
      </w:r>
      <w:r>
        <w:t xml:space="preserve"> </w:t>
      </w:r>
      <w:r>
        <w:t xml:space="preserve">The company still faces pressure in complex, single-source components. Any deterioration here could delay the production ramp.</w:t>
      </w:r>
    </w:p>
    <w:p>
      <w:pPr>
        <w:pStyle w:val="Compact"/>
        <w:numPr>
          <w:ilvl w:val="0"/>
          <w:numId w:val="1004"/>
        </w:numPr>
      </w:pPr>
      <w:r>
        <w:rPr>
          <w:b/>
          <w:bCs/>
        </w:rPr>
        <w:t xml:space="preserve">Columbia and Virginia program milestones:</w:t>
      </w:r>
      <w:r>
        <w:t xml:space="preserve"> </w:t>
      </w:r>
      <w:r>
        <w:t xml:space="preserve">Commentary on contract timing, material availability, and schedule confidence will matter disproportionately.</w:t>
      </w:r>
    </w:p>
    <w:p>
      <w:pPr>
        <w:pStyle w:val="Compact"/>
        <w:numPr>
          <w:ilvl w:val="0"/>
          <w:numId w:val="1004"/>
        </w:numPr>
      </w:pPr>
      <w:r>
        <w:rPr>
          <w:b/>
          <w:bCs/>
        </w:rPr>
        <w:t xml:space="preserve">Capex:</w:t>
      </w:r>
      <w:r>
        <w:t xml:space="preserve"> </w:t>
      </w:r>
      <w:r>
        <w:t xml:space="preserve">GD expects capital expenditures of</w:t>
      </w:r>
      <w:r>
        <w:t xml:space="preserve"> </w:t>
      </w:r>
      <w:r>
        <w:rPr>
          <w:b/>
          <w:bCs/>
        </w:rPr>
        <w:t xml:space="preserve">3.5%–4.0% of sales</w:t>
      </w:r>
      <w:r>
        <w:t xml:space="preserve"> </w:t>
      </w:r>
      <w:r>
        <w:t xml:space="preserve">for 2026, increasing through the year as it invests in shipyard capacity. This supports future volume but places a higher burden on working-capital execution and free-cash-flow conversion.</w:t>
      </w:r>
    </w:p>
    <w:p>
      <w:pPr>
        <w:pStyle w:val="FirstParagraph"/>
      </w:pPr>
      <w:r>
        <w:rPr>
          <w:b/>
          <w:bCs/>
        </w:rPr>
        <w:t xml:space="preserve">Investor read-through:</w:t>
      </w:r>
      <w:r>
        <w:t xml:space="preserve"> </w:t>
      </w:r>
      <w:r>
        <w:t xml:space="preserve">Positive Marine execution can support a multi-year rerating. A miss in this segment would matter more than a modest quarterly EPS variance because it would challenge the central backlog-to-revenue conversion thesis.</w:t>
      </w:r>
    </w:p>
    <w:p>
      <w:r>
        <w:pict>
          <v:rect style="width:0;height:1.5pt" o:hralign="center" o:hrstd="t" o:hr="t"/>
        </w:pict>
      </w:r>
    </w:p>
    <w:bookmarkEnd w:id="12"/>
    <w:bookmarkStart w:id="13" w:name="X8be7caa2229c7011110fb09c332c1c6b6ec8931"/>
    <w:p>
      <w:pPr>
        <w:pStyle w:val="Heading3"/>
      </w:pPr>
      <w:r>
        <w:t xml:space="preserve">3. Combat Systems: munitions and international vehicles must offset U.S. vehicle pressure</w:t>
      </w:r>
    </w:p>
    <w:p>
      <w:pPr>
        <w:pStyle w:val="FirstParagraph"/>
      </w:pPr>
      <w:r>
        <w:t xml:space="preserve">Combat Systems began the year with revenue up</w:t>
      </w:r>
      <w:r>
        <w:t xml:space="preserve"> </w:t>
      </w:r>
      <w:r>
        <w:rPr>
          <w:b/>
          <w:bCs/>
        </w:rPr>
        <w:t xml:space="preserve">4.9%</w:t>
      </w:r>
      <w:r>
        <w:t xml:space="preserve">, operating profit up</w:t>
      </w:r>
      <w:r>
        <w:t xml:space="preserve"> </w:t>
      </w:r>
      <w:r>
        <w:rPr>
          <w:b/>
          <w:bCs/>
        </w:rPr>
        <w:t xml:space="preserve">6.5%</w:t>
      </w:r>
      <w:r>
        <w:t xml:space="preserve">, and margin up</w:t>
      </w:r>
      <w:r>
        <w:t xml:space="preserve"> </w:t>
      </w:r>
      <w:r>
        <w:rPr>
          <w:b/>
          <w:bCs/>
        </w:rPr>
        <w:t xml:space="preserve">20 bps to 13.6%</w:t>
      </w:r>
      <w:r>
        <w:t xml:space="preserve">. Its moving parts are more mixed than those in Aerospace or Marine:</w:t>
      </w:r>
    </w:p>
    <w:p>
      <w:pPr>
        <w:pStyle w:val="Compact"/>
        <w:numPr>
          <w:ilvl w:val="0"/>
          <w:numId w:val="1005"/>
        </w:numPr>
      </w:pPr>
      <w:r>
        <w:rPr>
          <w:b/>
          <w:bCs/>
        </w:rPr>
        <w:t xml:space="preserve">Positive:</w:t>
      </w:r>
      <w:r>
        <w:t xml:space="preserve"> </w:t>
      </w:r>
      <w:r>
        <w:t xml:space="preserve">Munitions and artillery production are growing; international wheeled and tracked vehicle demand, particularly in Europe, remains robust.</w:t>
      </w:r>
    </w:p>
    <w:p>
      <w:pPr>
        <w:pStyle w:val="Compact"/>
        <w:numPr>
          <w:ilvl w:val="0"/>
          <w:numId w:val="1005"/>
        </w:numPr>
      </w:pPr>
      <w:r>
        <w:rPr>
          <w:b/>
          <w:bCs/>
        </w:rPr>
        <w:t xml:space="preserve">Negative:</w:t>
      </w:r>
      <w:r>
        <w:t xml:space="preserve"> </w:t>
      </w:r>
      <w:r>
        <w:t xml:space="preserve">U.S. military-vehicle volume is declining as the Army transitions toward next-generation programs, and the M10 Booker program was terminated.</w:t>
      </w:r>
    </w:p>
    <w:p>
      <w:pPr>
        <w:pStyle w:val="Compact"/>
        <w:numPr>
          <w:ilvl w:val="0"/>
          <w:numId w:val="1005"/>
        </w:numPr>
      </w:pPr>
      <w:r>
        <w:rPr>
          <w:b/>
          <w:bCs/>
        </w:rPr>
        <w:t xml:space="preserve">Forward catalyst:</w:t>
      </w:r>
      <w:r>
        <w:t xml:space="preserve"> </w:t>
      </w:r>
      <w:r>
        <w:t xml:space="preserve">Management expects the Mesquite artillery facility to enter production next year after agreeing on a path forward with the Army.</w:t>
      </w:r>
    </w:p>
    <w:p>
      <w:pPr>
        <w:pStyle w:val="FirstParagraph"/>
      </w:pPr>
      <w:r>
        <w:rPr>
          <w:b/>
          <w:bCs/>
        </w:rPr>
        <w:t xml:space="preserve">What investors should watch</w:t>
      </w:r>
    </w:p>
    <w:p>
      <w:pPr>
        <w:pStyle w:val="Compact"/>
        <w:numPr>
          <w:ilvl w:val="0"/>
          <w:numId w:val="1006"/>
        </w:numPr>
      </w:pPr>
      <w:r>
        <w:t xml:space="preserve">Order activity and international vehicle demand.</w:t>
      </w:r>
    </w:p>
    <w:p>
      <w:pPr>
        <w:pStyle w:val="Compact"/>
        <w:numPr>
          <w:ilvl w:val="0"/>
          <w:numId w:val="1006"/>
        </w:numPr>
      </w:pPr>
      <w:r>
        <w:t xml:space="preserve">Artillery and munitions volume, production readiness, and the timing of Mesquite ramp-up.</w:t>
      </w:r>
    </w:p>
    <w:p>
      <w:pPr>
        <w:pStyle w:val="Compact"/>
        <w:numPr>
          <w:ilvl w:val="0"/>
          <w:numId w:val="1006"/>
        </w:numPr>
      </w:pPr>
      <w:r>
        <w:t xml:space="preserve">Margin resilience amid lower U.S. vehicle production.</w:t>
      </w:r>
    </w:p>
    <w:p>
      <w:pPr>
        <w:pStyle w:val="Compact"/>
        <w:numPr>
          <w:ilvl w:val="0"/>
          <w:numId w:val="1006"/>
        </w:numPr>
      </w:pPr>
      <w:r>
        <w:t xml:space="preserve">Any incremental demand associated with inventory replenishment, geopolitical tensions, or allied spending.</w:t>
      </w:r>
    </w:p>
    <w:p>
      <w:pPr>
        <w:pStyle w:val="FirstParagraph"/>
      </w:pPr>
      <w:r>
        <w:rPr>
          <w:b/>
          <w:bCs/>
        </w:rPr>
        <w:t xml:space="preserve">Investor read-through:</w:t>
      </w:r>
      <w:r>
        <w:t xml:space="preserve"> </w:t>
      </w:r>
      <w:r>
        <w:t xml:space="preserve">Combat does not need to be the primary growth engine this quarter, but it needs to demonstrate that munitions and international demand can keep segment margins healthy through the U.S. vehicle transition.</w:t>
      </w:r>
    </w:p>
    <w:p>
      <w:r>
        <w:pict>
          <v:rect style="width:0;height:1.5pt" o:hralign="center" o:hrstd="t" o:hr="t"/>
        </w:pict>
      </w:r>
    </w:p>
    <w:bookmarkEnd w:id="13"/>
    <w:bookmarkStart w:id="14" w:name="X88eff2d35715525c6aa1749a7f4b4e464fd9bdf"/>
    <w:p>
      <w:pPr>
        <w:pStyle w:val="Heading3"/>
      </w:pPr>
      <w:r>
        <w:t xml:space="preserve">4. Technologies: growth quality and margin recovery</w:t>
      </w:r>
    </w:p>
    <w:p>
      <w:pPr>
        <w:pStyle w:val="FirstParagraph"/>
      </w:pPr>
      <w:r>
        <w:t xml:space="preserve">Technologies posted 1Q revenue growth of</w:t>
      </w:r>
      <w:r>
        <w:t xml:space="preserve"> </w:t>
      </w:r>
      <w:r>
        <w:rPr>
          <w:b/>
          <w:bCs/>
        </w:rPr>
        <w:t xml:space="preserve">4.2%</w:t>
      </w:r>
      <w:r>
        <w:t xml:space="preserve">, but operating earnings grew only</w:t>
      </w:r>
      <w:r>
        <w:t xml:space="preserve"> </w:t>
      </w:r>
      <w:r>
        <w:rPr>
          <w:b/>
          <w:bCs/>
        </w:rPr>
        <w:t xml:space="preserve">3.4%</w:t>
      </w:r>
      <w:r>
        <w:t xml:space="preserve">, leaving margin down</w:t>
      </w:r>
      <w:r>
        <w:t xml:space="preserve"> </w:t>
      </w:r>
      <w:r>
        <w:rPr>
          <w:b/>
          <w:bCs/>
        </w:rPr>
        <w:t xml:space="preserve">10 bps to 9.5%</w:t>
      </w:r>
      <w:r>
        <w:t xml:space="preserve">. Mission Systems was the bright spot, with revenue up 11.7%, helped by C5ISR, space, and international programs. GDIT remains exposed to elongated procurement cycles and fewer customer adjudications.</w:t>
      </w:r>
    </w:p>
    <w:p>
      <w:pPr>
        <w:pStyle w:val="BodyText"/>
      </w:pPr>
      <w:r>
        <w:t xml:space="preserve">Management has highlighted alignment with demand in cyber, AI-enabled capabilities, space, strategic deterrence, encryption modernization, next-generation command-and-control, and precision munitions.</w:t>
      </w:r>
    </w:p>
    <w:p>
      <w:pPr>
        <w:pStyle w:val="BodyText"/>
      </w:pPr>
      <w:r>
        <w:rPr>
          <w:b/>
          <w:bCs/>
        </w:rPr>
        <w:t xml:space="preserve">What investors should watch</w:t>
      </w:r>
    </w:p>
    <w:p>
      <w:pPr>
        <w:pStyle w:val="Compact"/>
        <w:numPr>
          <w:ilvl w:val="0"/>
          <w:numId w:val="1007"/>
        </w:numPr>
      </w:pPr>
      <w:r>
        <w:t xml:space="preserve">Whether Mission Systems sustains double-digit growth.</w:t>
      </w:r>
    </w:p>
    <w:p>
      <w:pPr>
        <w:pStyle w:val="Compact"/>
        <w:numPr>
          <w:ilvl w:val="0"/>
          <w:numId w:val="1007"/>
        </w:numPr>
      </w:pPr>
      <w:r>
        <w:t xml:space="preserve">Technologies margin direction; stabilization or improvement would be constructive.</w:t>
      </w:r>
    </w:p>
    <w:p>
      <w:pPr>
        <w:pStyle w:val="Compact"/>
        <w:numPr>
          <w:ilvl w:val="0"/>
          <w:numId w:val="1007"/>
        </w:numPr>
      </w:pPr>
      <w:r>
        <w:t xml:space="preserve">GDIT bookings, backlog, and procurement-cycle commentary.</w:t>
      </w:r>
    </w:p>
    <w:p>
      <w:pPr>
        <w:pStyle w:val="Compact"/>
        <w:numPr>
          <w:ilvl w:val="0"/>
          <w:numId w:val="1007"/>
        </w:numPr>
      </w:pPr>
      <w:r>
        <w:t xml:space="preserve">Order strength in cyber, space, and defense IT markets.</w:t>
      </w:r>
    </w:p>
    <w:p>
      <w:pPr>
        <w:pStyle w:val="FirstParagraph"/>
      </w:pPr>
      <w:r>
        <w:rPr>
          <w:b/>
          <w:bCs/>
        </w:rPr>
        <w:t xml:space="preserve">Investor read-through:</w:t>
      </w:r>
      <w:r>
        <w:t xml:space="preserve"> </w:t>
      </w:r>
      <w:r>
        <w:t xml:space="preserve">Technologies is less likely to determine the quarter, but a return to margin expansion would broaden the earnings story beyond Aerospace and Marine.</w:t>
      </w:r>
    </w:p>
    <w:p>
      <w:r>
        <w:pict>
          <v:rect style="width:0;height:1.5pt" o:hralign="center" o:hrstd="t" o:hr="t"/>
        </w:pict>
      </w:r>
    </w:p>
    <w:bookmarkEnd w:id="14"/>
    <w:bookmarkEnd w:id="15"/>
    <w:bookmarkStart w:id="16" w:name="X170fdeb8c65bde9e6d7e6234b61898be677566d"/>
    <w:p>
      <w:pPr>
        <w:pStyle w:val="Heading2"/>
      </w:pPr>
      <w:r>
        <w:t xml:space="preserve">Cash flow and capital deployment: a potential source of upside, but watch timing</w:t>
      </w:r>
    </w:p>
    <w:p>
      <w:pPr>
        <w:pStyle w:val="FirstParagraph"/>
      </w:pPr>
      <w:r>
        <w:t xml:space="preserve">GD generated unusually strong 1Q26 operating cash flow of</w:t>
      </w:r>
      <w:r>
        <w:t xml:space="preserve"> </w:t>
      </w:r>
      <m:oMath>
        <m:r>
          <m:t>2.16</m:t>
        </m:r>
        <m:r>
          <m:t>B</m:t>
        </m:r>
        <m:r>
          <m:rPr>
            <m:sty m:val="p"/>
          </m:rPr>
          <m:t>*</m:t>
        </m:r>
        <m:r>
          <m:rPr>
            <m:sty m:val="p"/>
          </m:rPr>
          <m:t>*</m:t>
        </m:r>
        <m:r>
          <m:t>a</m:t>
        </m:r>
        <m:r>
          <m:t>n</m:t>
        </m:r>
        <m:r>
          <m:t>d</m:t>
        </m:r>
        <m:r>
          <m:t>f</m:t>
        </m:r>
        <m:r>
          <m:t>r</m:t>
        </m:r>
        <m:r>
          <m:t>e</m:t>
        </m:r>
        <m:r>
          <m:t>e</m:t>
        </m:r>
        <m:r>
          <m:t>c</m:t>
        </m:r>
        <m:r>
          <m:t>a</m:t>
        </m:r>
        <m:r>
          <m:t>s</m:t>
        </m:r>
        <m:r>
          <m:t>h</m:t>
        </m:r>
        <m:r>
          <m:t>f</m:t>
        </m:r>
        <m:r>
          <m:t>l</m:t>
        </m:r>
        <m:r>
          <m:t>o</m:t>
        </m:r>
        <m:r>
          <m:t>w</m:t>
        </m:r>
        <m:r>
          <m:t>o</m:t>
        </m:r>
        <m:r>
          <m:t>f</m:t>
        </m:r>
        <m:r>
          <m:rPr>
            <m:sty m:val="p"/>
          </m:rPr>
          <m:t>*</m:t>
        </m:r>
        <m:r>
          <m:rPr>
            <m:sty m:val="p"/>
          </m:rPr>
          <m:t>*</m:t>
        </m:r>
      </m:oMath>
      <w:r>
        <w:rPr>
          <w:b/>
          <w:bCs/>
        </w:rPr>
        <w:t xml:space="preserve">1.95B</w:t>
      </w:r>
      <w:r>
        <w:t xml:space="preserve">, driven in part by operating working-capital performance and customer advances. Management explicitly cautioned that 1Q would likely be the year’s largest free-cash-flow quarter, with lower but positive free cash flow in each remaining quarter.</w:t>
      </w:r>
    </w:p>
    <w:p>
      <w:pPr>
        <w:pStyle w:val="BodyText"/>
      </w:pPr>
      <w:r>
        <w:t xml:space="preserve">The company still targets free-cash-flow conversion of</w:t>
      </w:r>
      <w:r>
        <w:t xml:space="preserve"> </w:t>
      </w:r>
      <w:r>
        <w:rPr>
          <w:b/>
          <w:bCs/>
        </w:rPr>
        <w:t xml:space="preserve">100% of net income</w:t>
      </w:r>
      <w:r>
        <w:t xml:space="preserve"> </w:t>
      </w:r>
      <w:r>
        <w:t xml:space="preserve">for the full year, while leaving open the possibility of outperforming that target.</w:t>
      </w:r>
    </w:p>
    <w:p>
      <w:pPr>
        <w:pStyle w:val="BodyText"/>
      </w:pPr>
      <w:r>
        <w:t xml:space="preserve">Key balance-sheet and deployment items entering 2Q:</w:t>
      </w:r>
    </w:p>
    <w:p>
      <w:pPr>
        <w:pStyle w:val="Compact"/>
        <w:numPr>
          <w:ilvl w:val="0"/>
          <w:numId w:val="1008"/>
        </w:numPr>
      </w:pPr>
      <w:r>
        <w:t xml:space="preserve">Cash:</w:t>
      </w:r>
      <w:r>
        <w:t xml:space="preserve"> </w:t>
      </w:r>
      <w:r>
        <w:rPr>
          <w:b/>
          <w:bCs/>
        </w:rPr>
        <w:t xml:space="preserve">$3.65B</w:t>
      </w:r>
      <w:r>
        <w:t xml:space="preserve"> </w:t>
      </w:r>
      <w:r>
        <w:t xml:space="preserve">at the end of 1Q.</w:t>
      </w:r>
    </w:p>
    <w:p>
      <w:pPr>
        <w:pStyle w:val="Compact"/>
        <w:numPr>
          <w:ilvl w:val="0"/>
          <w:numId w:val="1008"/>
        </w:numPr>
      </w:pPr>
      <w:r>
        <w:t xml:space="preserve">Net debt:</w:t>
      </w:r>
      <w:r>
        <w:t xml:space="preserve"> </w:t>
      </w:r>
      <w:r>
        <w:rPr>
          <w:b/>
          <w:bCs/>
        </w:rPr>
        <w:t xml:space="preserve">$4.36B</w:t>
      </w:r>
      <w:r>
        <w:t xml:space="preserve">, down from $5.68B at year-end 2025.</w:t>
      </w:r>
    </w:p>
    <w:p>
      <w:pPr>
        <w:pStyle w:val="Compact"/>
        <w:numPr>
          <w:ilvl w:val="0"/>
          <w:numId w:val="1008"/>
        </w:numPr>
      </w:pPr>
      <w:r>
        <w:t xml:space="preserve">Two</w:t>
      </w:r>
      <w:r>
        <w:t xml:space="preserve"> </w:t>
      </w:r>
      <w:r>
        <w:rPr>
          <w:b/>
          <w:bCs/>
        </w:rPr>
        <w:t xml:space="preserve">$500M</w:t>
      </w:r>
      <w:r>
        <w:t xml:space="preserve"> </w:t>
      </w:r>
      <w:r>
        <w:t xml:space="preserve">note maturities were scheduled for June and August 2026; investors should look for confirmation of refinancing actions or an updated funding plan.</w:t>
      </w:r>
    </w:p>
    <w:p>
      <w:pPr>
        <w:pStyle w:val="Compact"/>
        <w:numPr>
          <w:ilvl w:val="0"/>
          <w:numId w:val="1008"/>
        </w:numPr>
      </w:pPr>
      <w:r>
        <w:t xml:space="preserve">Buybacks remain limited largely to offsetting dilution, while the dividend remains a strategic priority.</w:t>
      </w:r>
    </w:p>
    <w:p>
      <w:pPr>
        <w:pStyle w:val="FirstParagraph"/>
      </w:pPr>
      <w:r>
        <w:rPr>
          <w:b/>
          <w:bCs/>
        </w:rPr>
        <w:t xml:space="preserve">What would be positive:</w:t>
      </w:r>
      <w:r>
        <w:t xml:space="preserve"> </w:t>
      </w:r>
      <w:r>
        <w:t xml:space="preserve">Sustained full-year cash-conversion confidence despite rising capex and a clear update on the summer debt maturities.</w:t>
      </w:r>
      <w:r>
        <w:br/>
      </w:r>
      <w:r>
        <w:rPr>
          <w:b/>
          <w:bCs/>
        </w:rPr>
        <w:t xml:space="preserve">What would be negative:</w:t>
      </w:r>
      <w:r>
        <w:t xml:space="preserve"> </w:t>
      </w:r>
      <w:r>
        <w:t xml:space="preserve">Material pressure in working capital, lower cash-conversion expectations, or an indication that elevated Marine investment is becoming more cash-intensive than anticipated.</w:t>
      </w:r>
    </w:p>
    <w:p>
      <w:r>
        <w:pict>
          <v:rect style="width:0;height:1.5pt" o:hralign="center" o:hrstd="t" o:hr="t"/>
        </w:pict>
      </w:r>
    </w:p>
    <w:bookmarkEnd w:id="16"/>
    <w:bookmarkStart w:id="17" w:name="expectations-framework"/>
    <w:p>
      <w:pPr>
        <w:pStyle w:val="Heading2"/>
      </w:pPr>
      <w:r>
        <w:t xml:space="preserve">Expectations framework</w:t>
      </w:r>
    </w:p>
    <w:p>
      <w:pPr>
        <w:pStyle w:val="FirstParagraph"/>
      </w:pPr>
      <w:r>
        <w:t xml:space="preserve">GD’s 2Q25 comparison base is solid but not prohibitive: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2Q25 actual</w:t>
            </w:r>
          </w:p>
        </w:tc>
        <w:tc>
          <w:tcPr/>
          <w:p>
            <w:pPr>
              <w:pStyle w:val="Compact"/>
              <w:jc w:val="right"/>
            </w:pPr>
            <w:r>
              <w:t xml:space="preserve">Result</w:t>
            </w:r>
          </w:p>
        </w:tc>
      </w:tr>
      <w:tr>
        <w:tc>
          <w:tcPr/>
          <w:p>
            <w:pPr>
              <w:pStyle w:val="Compact"/>
            </w:pPr>
            <w:r>
              <w:t xml:space="preserve">Revenue</w:t>
            </w:r>
          </w:p>
        </w:tc>
        <w:tc>
          <w:tcPr/>
          <w:p>
            <w:pPr>
              <w:pStyle w:val="Compact"/>
              <w:jc w:val="right"/>
            </w:pPr>
            <w:r>
              <w:t xml:space="preserve">$13.04B</w:t>
            </w:r>
          </w:p>
        </w:tc>
      </w:tr>
      <w:tr>
        <w:tc>
          <w:tcPr/>
          <w:p>
            <w:pPr>
              <w:pStyle w:val="Compact"/>
            </w:pPr>
            <w:r>
              <w:t xml:space="preserve">Diluted EPS</w:t>
            </w:r>
          </w:p>
        </w:tc>
        <w:tc>
          <w:tcPr/>
          <w:p>
            <w:pPr>
              <w:pStyle w:val="Compact"/>
              <w:jc w:val="right"/>
            </w:pPr>
            <w:r>
              <w:t xml:space="preserve">$3.74</w:t>
            </w:r>
          </w:p>
        </w:tc>
      </w:tr>
      <w:tr>
        <w:tc>
          <w:tcPr/>
          <w:p>
            <w:pPr>
              <w:pStyle w:val="Compact"/>
            </w:pPr>
            <w:r>
              <w:t xml:space="preserve">Operating margin</w:t>
            </w:r>
          </w:p>
        </w:tc>
        <w:tc>
          <w:tcPr/>
          <w:p>
            <w:pPr>
              <w:pStyle w:val="Compact"/>
              <w:jc w:val="right"/>
            </w:pPr>
            <w:r>
              <w:t xml:space="preserve">10.0%</w:t>
            </w:r>
          </w:p>
        </w:tc>
      </w:tr>
      <w:tr>
        <w:tc>
          <w:tcPr/>
          <w:p>
            <w:pPr>
              <w:pStyle w:val="Compact"/>
            </w:pPr>
            <w:r>
              <w:t xml:space="preserve">Aerospace revenue / margin</w:t>
            </w:r>
          </w:p>
        </w:tc>
        <w:tc>
          <w:tcPr/>
          <w:p>
            <w:pPr>
              <w:pStyle w:val="Compact"/>
              <w:jc w:val="right"/>
            </w:pPr>
            <w:r>
              <w:t xml:space="preserve">$3.06B / 13.2%</w:t>
            </w:r>
          </w:p>
        </w:tc>
      </w:tr>
      <w:tr>
        <w:tc>
          <w:tcPr/>
          <w:p>
            <w:pPr>
              <w:pStyle w:val="Compact"/>
            </w:pPr>
            <w:r>
              <w:t xml:space="preserve">Marine revenue / margin</w:t>
            </w:r>
          </w:p>
        </w:tc>
        <w:tc>
          <w:tcPr/>
          <w:p>
            <w:pPr>
              <w:pStyle w:val="Compact"/>
              <w:jc w:val="right"/>
            </w:pPr>
            <w:r>
              <w:t xml:space="preserve">$4.22B / 6.9%</w:t>
            </w:r>
          </w:p>
        </w:tc>
      </w:tr>
      <w:tr>
        <w:tc>
          <w:tcPr/>
          <w:p>
            <w:pPr>
              <w:pStyle w:val="Compact"/>
            </w:pPr>
            <w:r>
              <w:t xml:space="preserve">Combat revenue / margin</w:t>
            </w:r>
          </w:p>
        </w:tc>
        <w:tc>
          <w:tcPr/>
          <w:p>
            <w:pPr>
              <w:pStyle w:val="Compact"/>
              <w:jc w:val="right"/>
            </w:pPr>
            <w:r>
              <w:t xml:space="preserve">$2.28B / 14.2%</w:t>
            </w:r>
          </w:p>
        </w:tc>
      </w:tr>
      <w:tr>
        <w:tc>
          <w:tcPr/>
          <w:p>
            <w:pPr>
              <w:pStyle w:val="Compact"/>
            </w:pPr>
            <w:r>
              <w:t xml:space="preserve">Technologies revenue / margin</w:t>
            </w:r>
          </w:p>
        </w:tc>
        <w:tc>
          <w:tcPr/>
          <w:p>
            <w:pPr>
              <w:pStyle w:val="Compact"/>
              <w:jc w:val="right"/>
            </w:pPr>
            <w:r>
              <w:t xml:space="preserve">$3.48B / 9.6%</w:t>
            </w:r>
          </w:p>
        </w:tc>
      </w:tr>
      <w:tr>
        <w:tc>
          <w:tcPr/>
          <w:p>
            <w:pPr>
              <w:pStyle w:val="Compact"/>
            </w:pPr>
            <w:r>
              <w:t xml:space="preserve">Free cash flow</w:t>
            </w:r>
          </w:p>
        </w:tc>
        <w:tc>
          <w:tcPr/>
          <w:p>
            <w:pPr>
              <w:pStyle w:val="Compact"/>
              <w:jc w:val="right"/>
            </w:pPr>
            <w:r>
              <w:t xml:space="preserve">$1.40B</w:t>
            </w:r>
          </w:p>
        </w:tc>
      </w:tr>
      <w:tr>
        <w:tc>
          <w:tcPr/>
          <w:p>
            <w:pPr>
              <w:pStyle w:val="Compact"/>
            </w:pPr>
            <w:r>
              <w:t xml:space="preserve">Total backlog</w:t>
            </w:r>
          </w:p>
        </w:tc>
        <w:tc>
          <w:tcPr/>
          <w:p>
            <w:pPr>
              <w:pStyle w:val="Compact"/>
              <w:jc w:val="right"/>
            </w:pPr>
            <w:r>
              <w:t xml:space="preserve">$103.7B</w:t>
            </w:r>
          </w:p>
        </w:tc>
      </w:tr>
    </w:tbl>
    <w:p>
      <w:pPr>
        <w:pStyle w:val="BodyText"/>
      </w:pPr>
      <w:r>
        <w:t xml:space="preserve">The comparison should be particularly favorable in</w:t>
      </w:r>
      <w:r>
        <w:t xml:space="preserve"> </w:t>
      </w:r>
      <w:r>
        <w:rPr>
          <w:b/>
          <w:bCs/>
        </w:rPr>
        <w:t xml:space="preserve">Aerospace margin</w:t>
      </w:r>
      <w:r>
        <w:t xml:space="preserve"> </w:t>
      </w:r>
      <w:r>
        <w:t xml:space="preserve">and</w:t>
      </w:r>
      <w:r>
        <w:t xml:space="preserve"> </w:t>
      </w:r>
      <w:r>
        <w:rPr>
          <w:b/>
          <w:bCs/>
        </w:rPr>
        <w:t xml:space="preserve">Marine revenue</w:t>
      </w:r>
      <w:r>
        <w:t xml:space="preserve">, given 1Q’s operating trends. However, the market will likely judge the release against the company’s improved 2026 guidance rather than against 2Q25 alone.</w:t>
      </w:r>
    </w:p>
    <w:p>
      <w:r>
        <w:pict>
          <v:rect style="width:0;height:1.5pt" o:hralign="center" o:hrstd="t" o:hr="t"/>
        </w:pict>
      </w:r>
    </w:p>
    <w:bookmarkEnd w:id="17"/>
    <w:bookmarkStart w:id="20" w:name="catalysts-and-risks"/>
    <w:p>
      <w:pPr>
        <w:pStyle w:val="Heading2"/>
      </w:pPr>
      <w:r>
        <w:t xml:space="preserve">Catalysts and risks</w:t>
      </w:r>
    </w:p>
    <w:bookmarkStart w:id="18" w:name="potential-upside-catalysts"/>
    <w:p>
      <w:pPr>
        <w:pStyle w:val="Heading3"/>
      </w:pPr>
      <w:r>
        <w:t xml:space="preserve">Potential upside catalysts</w:t>
      </w:r>
    </w:p>
    <w:p>
      <w:pPr>
        <w:pStyle w:val="Compact"/>
        <w:numPr>
          <w:ilvl w:val="0"/>
          <w:numId w:val="1009"/>
        </w:numPr>
      </w:pPr>
      <w:r>
        <w:rPr>
          <w:b/>
          <w:bCs/>
        </w:rPr>
        <w:t xml:space="preserve">A second guidance increase</w:t>
      </w:r>
      <w:r>
        <w:t xml:space="preserve"> </w:t>
      </w:r>
      <w:r>
        <w:t xml:space="preserve">or language signaling material conservatism in the</w:t>
      </w:r>
      <w:r>
        <w:t xml:space="preserve"> </w:t>
      </w:r>
      <m:oMath>
        <m:r>
          <m:t>16.45</m:t>
        </m:r>
        <m:r>
          <m:rPr>
            <m:sty m:val="p"/>
          </m:rPr>
          <m:t>–</m:t>
        </m:r>
      </m:oMath>
      <w:r>
        <w:t xml:space="preserve">16.55 EPS range.</w:t>
      </w:r>
    </w:p>
    <w:p>
      <w:pPr>
        <w:pStyle w:val="Compact"/>
        <w:numPr>
          <w:ilvl w:val="0"/>
          <w:numId w:val="1009"/>
        </w:numPr>
      </w:pPr>
      <w:r>
        <w:t xml:space="preserve">Aerospace margin remaining near 15%, with evidence that G800 productivity gains and services strength are durable.</w:t>
      </w:r>
    </w:p>
    <w:p>
      <w:pPr>
        <w:pStyle w:val="Compact"/>
        <w:numPr>
          <w:ilvl w:val="0"/>
          <w:numId w:val="1009"/>
        </w:numPr>
      </w:pPr>
      <w:r>
        <w:t xml:space="preserve">Marine revenue growth and margin expansion that validate improving shipyard throughput.</w:t>
      </w:r>
    </w:p>
    <w:p>
      <w:pPr>
        <w:pStyle w:val="Compact"/>
        <w:numPr>
          <w:ilvl w:val="0"/>
          <w:numId w:val="1009"/>
        </w:numPr>
      </w:pPr>
      <w:r>
        <w:t xml:space="preserve">Strong book-to-bill and backlog conversion across defense and business aviation.</w:t>
      </w:r>
    </w:p>
    <w:p>
      <w:pPr>
        <w:pStyle w:val="Compact"/>
        <w:numPr>
          <w:ilvl w:val="0"/>
          <w:numId w:val="1009"/>
        </w:numPr>
      </w:pPr>
      <w:r>
        <w:t xml:space="preserve">Full-year free-cash-flow conversion maintained at—or increased above—100% of net income.</w:t>
      </w:r>
    </w:p>
    <w:bookmarkEnd w:id="18"/>
    <w:bookmarkStart w:id="19" w:name="principal-risks"/>
    <w:p>
      <w:pPr>
        <w:pStyle w:val="Heading3"/>
      </w:pPr>
      <w:r>
        <w:t xml:space="preserve">Principal risks</w:t>
      </w:r>
    </w:p>
    <w:p>
      <w:pPr>
        <w:pStyle w:val="Compact"/>
        <w:numPr>
          <w:ilvl w:val="0"/>
          <w:numId w:val="1010"/>
        </w:numPr>
      </w:pPr>
      <w:r>
        <w:rPr>
          <w:b/>
          <w:bCs/>
        </w:rPr>
        <w:t xml:space="preserve">Marine supply-chain or labor setbacks</w:t>
      </w:r>
      <w:r>
        <w:t xml:space="preserve">, particularly for complex and single-source components.</w:t>
      </w:r>
    </w:p>
    <w:p>
      <w:pPr>
        <w:pStyle w:val="Compact"/>
        <w:numPr>
          <w:ilvl w:val="0"/>
          <w:numId w:val="1010"/>
        </w:numPr>
      </w:pPr>
      <w:r>
        <w:rPr>
          <w:b/>
          <w:bCs/>
        </w:rPr>
        <w:t xml:space="preserve">Aerospace mix, delivery, or supplier pressure</w:t>
      </w:r>
      <w:r>
        <w:t xml:space="preserve">, including potential disruption affecting the G280 supply chain.</w:t>
      </w:r>
    </w:p>
    <w:p>
      <w:pPr>
        <w:pStyle w:val="Compact"/>
        <w:numPr>
          <w:ilvl w:val="0"/>
          <w:numId w:val="1010"/>
        </w:numPr>
      </w:pPr>
      <w:r>
        <w:t xml:space="preserve">A material slowing in Gulfstream order activity, especially in the Middle East.</w:t>
      </w:r>
    </w:p>
    <w:p>
      <w:pPr>
        <w:pStyle w:val="Compact"/>
        <w:numPr>
          <w:ilvl w:val="0"/>
          <w:numId w:val="1010"/>
        </w:numPr>
      </w:pPr>
      <w:r>
        <w:t xml:space="preserve">Lower U.S. combat-vehicle production during the transition to next-generation platforms.</w:t>
      </w:r>
    </w:p>
    <w:p>
      <w:pPr>
        <w:pStyle w:val="Compact"/>
        <w:numPr>
          <w:ilvl w:val="0"/>
          <w:numId w:val="1010"/>
        </w:numPr>
      </w:pPr>
      <w:r>
        <w:t xml:space="preserve">Margin pressure from ramp costs, capex, tariffs, contract-estimate changes, or unfavorable program mix.</w:t>
      </w:r>
    </w:p>
    <w:p>
      <w:pPr>
        <w:pStyle w:val="Compact"/>
        <w:numPr>
          <w:ilvl w:val="0"/>
          <w:numId w:val="1010"/>
        </w:numPr>
      </w:pPr>
      <w:r>
        <w:t xml:space="preserve">A strong stock performance into the report that raises the required degree of upside.</w:t>
      </w:r>
    </w:p>
    <w:p>
      <w:r>
        <w:pict>
          <v:rect style="width:0;height:1.5pt" o:hralign="center" o:hrstd="t" o:hr="t"/>
        </w:pict>
      </w:r>
    </w:p>
    <w:bookmarkEnd w:id="19"/>
    <w:bookmarkEnd w:id="20"/>
    <w:bookmarkStart w:id="21" w:name="bottom-line"/>
    <w:p>
      <w:pPr>
        <w:pStyle w:val="Heading2"/>
      </w:pPr>
      <w:r>
        <w:t xml:space="preserve">Bottom line</w:t>
      </w:r>
    </w:p>
    <w:p>
      <w:pPr>
        <w:pStyle w:val="FirstParagraph"/>
      </w:pPr>
      <w:r>
        <w:t xml:space="preserve">GD enters 2Q26 as an</w:t>
      </w:r>
      <w:r>
        <w:t xml:space="preserve"> </w:t>
      </w:r>
      <w:r>
        <w:rPr>
          <w:b/>
          <w:bCs/>
        </w:rPr>
        <w:t xml:space="preserve">execution story with improving quality</w:t>
      </w:r>
      <w:r>
        <w:t xml:space="preserve">: its backlog is record-sized, Aerospace margins are strengthening, Marine throughput is improving, and first-quarter cash generation materially exceeded expectations. The quarter’s central test is whether those trends are repeatable enough to move 2026 earnings and cash-flow expectations higher again.</w:t>
      </w:r>
    </w:p>
    <w:p>
      <w:pPr>
        <w:pStyle w:val="BodyText"/>
      </w:pPr>
      <w:r>
        <w:t xml:space="preserve">For investors, the highest-value signals will be:</w:t>
      </w:r>
    </w:p>
    <w:p>
      <w:pPr>
        <w:pStyle w:val="Compact"/>
        <w:numPr>
          <w:ilvl w:val="0"/>
          <w:numId w:val="1011"/>
        </w:numPr>
      </w:pPr>
      <w:r>
        <w:rPr>
          <w:b/>
          <w:bCs/>
        </w:rPr>
        <w:t xml:space="preserve">Full-year EPS and free-cash-flow guidance;</w:t>
      </w:r>
    </w:p>
    <w:p>
      <w:pPr>
        <w:pStyle w:val="Compact"/>
        <w:numPr>
          <w:ilvl w:val="0"/>
          <w:numId w:val="1011"/>
        </w:numPr>
      </w:pPr>
      <w:r>
        <w:rPr>
          <w:b/>
          <w:bCs/>
        </w:rPr>
        <w:t xml:space="preserve">Aerospace margin durability and Gulfstream delivery/order cadence;</w:t>
      </w:r>
    </w:p>
    <w:p>
      <w:pPr>
        <w:pStyle w:val="Compact"/>
        <w:numPr>
          <w:ilvl w:val="0"/>
          <w:numId w:val="1011"/>
        </w:numPr>
      </w:pPr>
      <w:r>
        <w:rPr>
          <w:b/>
          <w:bCs/>
        </w:rPr>
        <w:t xml:space="preserve">Marine throughput, margin, and submarine-program confidence;</w:t>
      </w:r>
    </w:p>
    <w:p>
      <w:pPr>
        <w:pStyle w:val="Compact"/>
        <w:numPr>
          <w:ilvl w:val="0"/>
          <w:numId w:val="1011"/>
        </w:numPr>
      </w:pPr>
      <w:r>
        <w:rPr>
          <w:b/>
          <w:bCs/>
        </w:rPr>
        <w:t xml:space="preserve">Backlog/book-to-bill quality;</w:t>
      </w:r>
      <w:r>
        <w:t xml:space="preserve"> </w:t>
      </w:r>
      <w:r>
        <w:t xml:space="preserve">and</w:t>
      </w:r>
    </w:p>
    <w:p>
      <w:pPr>
        <w:pStyle w:val="Compact"/>
        <w:numPr>
          <w:ilvl w:val="0"/>
          <w:numId w:val="1011"/>
        </w:numPr>
      </w:pPr>
      <w:r>
        <w:rPr>
          <w:b/>
          <w:bCs/>
        </w:rPr>
        <w:t xml:space="preserve">Evidence that rising shipyard investment is translating into profitable, cash-generative capacity.</w:t>
      </w:r>
    </w:p>
    <w:p>
      <w:pPr>
        <w:pStyle w:val="FirstParagraph"/>
      </w:pPr>
      <w:r>
        <w:t xml:space="preserve">A solid print with unchanged guidance could be viewed as insufficient after the stock’s recent move. Conversely, confirmation that 1Q’s execution strength is durable—especially in Aerospace and Marine—would reinforce the case for further earnings-power upside.</w:t>
      </w:r>
    </w:p>
    <w:p>
      <w:pPr>
        <w:pStyle w:val="BodyText"/>
      </w:pPr>
      <w:r>
        <w:rPr>
          <w:i/>
          <w:iCs/>
        </w:rPr>
        <w:t xml:space="preserve">Sources reviewed: General Dynamics 1Q26 earnings release and earnings-call transcript dated April 29, 2026; 1Q26 Form 10-Q; 2Q25 earnings release dated July 23, 2025; FY25 earnings release dated January 28, 2026; and market-price data through July 28, 2026.</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2026-07-29T00:48:00Z</dcterms:created>
  <dcterms:modified xsi:type="dcterms:W3CDTF">2026-07-29T00:48:00Z</dcterms:modified>
</cp:coreProperties>
</file>

<file path=docProps/custom.xml><?xml version="1.0" encoding="utf-8"?>
<Properties xmlns="http://schemas.openxmlformats.org/officeDocument/2006/custom-properties" xmlns:vt="http://schemas.openxmlformats.org/officeDocument/2006/docPropsVTypes"/>
</file>