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General Dynamics Corporation (GD)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General Dynamics Corporation</w:t>
            </w:r>
          </w:p>
        </w:tc>
      </w:tr>
      <w:tr>
        <w:tc>
          <w:tcPr>
            <w:tcW w:type="dxa" w:w="4320"/>
          </w:tcPr>
          <w:p>
            <w:r>
              <w:rPr>
                <w:rFonts w:ascii="Calibri" w:hAnsi="Calibri"/>
                <w:b/>
                <w:sz w:val="22"/>
              </w:rPr>
              <w:t>Ticker</w:t>
            </w:r>
          </w:p>
        </w:tc>
        <w:tc>
          <w:tcPr>
            <w:tcW w:type="dxa" w:w="4320"/>
          </w:tcPr>
          <w:p>
            <w:r>
              <w:rPr>
                <w:rFonts w:ascii="Calibri" w:hAnsi="Calibri"/>
                <w:sz w:val="22"/>
              </w:rPr>
              <w:t>GD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Before Market Open</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favors a beat — consensus is a manageable bar after Q1’s massive outperformance, management raised FY2026 EPS guidance to $16.45–$16.55, and the biggest swing factor is whether </w:t>
      </w:r>
      <w:r>
        <w:rPr>
          <w:rFonts w:ascii="Calibri" w:hAnsi="Calibri"/>
          <w:b/>
          <w:color w:val="525866"/>
          <w:sz w:val="22"/>
        </w:rPr>
        <w:t>Marine Systems throughput</w:t>
      </w:r>
      <w:r>
        <w:rPr>
          <w:rFonts w:ascii="Calibri" w:hAnsi="Calibri"/>
          <w:color w:val="525866"/>
          <w:sz w:val="22"/>
        </w:rPr>
        <w:t xml:space="preserve"> continues its Q1 momentum into Q2.</w:t>
      </w:r>
    </w:p>
    <w:p>
      <w:r>
        <w:rPr>
          <w:rFonts w:ascii="Calibri" w:hAnsi="Calibri"/>
          <w:color w:val="525866"/>
          <w:sz w:val="22"/>
        </w:rPr>
        <w:t xml:space="preserve">General Dynamics heads into Q2 2026 earnings with consensus expecting $3.98 EPS on $13.55B in revenue — a deliberately modest bar set against a Q1 print that beat by $0.43/share and $780M in revenue, the largest beat in recent memory. Management guided Q2 deliveries to be “very similar” to Q1’s record 38 aircraft, and explicitly flagged that Q2 and Q3 would trail Q1 and Q4 on mix, providing a clear framework that keeps the bar achievable. </w:t>
      </w:r>
      <w:r>
        <w:rPr>
          <w:rFonts w:ascii="Calibri" w:hAnsi="Calibri"/>
          <w:b/>
          <w:color w:val="525866"/>
          <w:sz w:val="22"/>
        </w:rPr>
        <w:t>Estimate revisions have drifted modestly higher since the April 29 print</w:t>
      </w:r>
      <w:r>
        <w:rPr>
          <w:rFonts w:ascii="Calibri" w:hAnsi="Calibri"/>
          <w:color w:val="525866"/>
          <w:sz w:val="22"/>
        </w:rPr>
        <w:t xml:space="preserve"> — Q2 EPS consensus moved from $3.93 to $3.98 — suggesting the Street is cautiously building in continued momentum without fully extrapolating Q1’s exceptional cash conversion (174% in Q1). The stock has rallied ~16% since Q1 earnings, outpacing ITA (+15%) and the S&amp;P 500 (+4%), so some beat is already priced in, but the multiple remains reasonable relative to defense peers given the record $131B backlog and multi-year submarine ramp. The single biggest wildcard is </w:t>
      </w:r>
      <w:r>
        <w:rPr>
          <w:rFonts w:ascii="Calibri" w:hAnsi="Calibri"/>
          <w:b/>
          <w:color w:val="525866"/>
          <w:sz w:val="22"/>
        </w:rPr>
        <w:t>Aerospace margin durability</w:t>
      </w:r>
      <w:r>
        <w:rPr>
          <w:rFonts w:ascii="Calibri" w:hAnsi="Calibri"/>
          <w:color w:val="525866"/>
          <w:sz w:val="22"/>
        </w:rPr>
        <w:t>: management called Q1’s 15% Aerospace operating margin “durable,” but Q2 mix is expected to shift slightly, and any tariff headwind or Middle East supply chain disruption on G280 components from Israel could pressure the segment and reset expectations for the back half.</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across all four segments after Q1’s broad-based beat; </w:t>
      </w:r>
      <w:r>
        <w:rPr>
          <w:rFonts w:ascii="Calibri" w:hAnsi="Calibri"/>
          <w:b/>
          <w:color w:val="525866"/>
          <w:sz w:val="22"/>
        </w:rPr>
        <w:t>Marine Systems revenue ($4.37B consensus vs. $4.34B actual in Q1)</w:t>
      </w:r>
      <w:r>
        <w:rPr>
          <w:rFonts w:ascii="Calibri" w:hAnsi="Calibri"/>
          <w:color w:val="525866"/>
          <w:sz w:val="22"/>
        </w:rPr>
        <w:t xml:space="preserve"> is the biggest swing factor given the throughput ramp story, while Aerospace margin is the key qualitative read.</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$13.48B</w:t>
            </w:r>
          </w:p>
        </w:tc>
        <w:tc>
          <w:tcPr>
            <w:tcW w:type="dxa" w:w="1234"/>
          </w:tcPr>
          <w:p>
            <w:r>
              <w:rPr>
                <w:rFonts w:ascii="Calibri" w:hAnsi="Calibri"/>
                <w:sz w:val="22"/>
              </w:rPr>
              <w:t>$13.04B</w:t>
            </w:r>
          </w:p>
        </w:tc>
        <w:tc>
          <w:tcPr>
            <w:tcW w:type="dxa" w:w="1234"/>
          </w:tcPr>
          <w:p>
            <w:r>
              <w:rPr>
                <w:rFonts w:ascii="Calibri" w:hAnsi="Calibri"/>
                <w:sz w:val="22"/>
              </w:rPr>
              <w:t>$13.55B</w:t>
            </w:r>
          </w:p>
        </w:tc>
        <w:tc>
          <w:tcPr>
            <w:tcW w:type="dxa" w:w="1234"/>
          </w:tcPr>
          <w:p>
            <w:r>
              <w:rPr>
                <w:rFonts w:ascii="Calibri" w:hAnsi="Calibri"/>
                <w:sz w:val="22"/>
              </w:rPr>
              <w:t>+3.9% YoY</w:t>
            </w:r>
          </w:p>
        </w:tc>
        <w:tc>
          <w:tcPr>
            <w:tcW w:type="dxa" w:w="1234"/>
          </w:tcPr>
          <w:p>
            <w:r>
              <w:rPr>
                <w:rFonts w:ascii="Calibri" w:hAnsi="Calibri"/>
                <w:sz w:val="22"/>
              </w:rPr>
              <w:t>No explicit Q2 guidance; FY2026 implied ~$55.5B</w:t>
            </w:r>
          </w:p>
        </w:tc>
        <w:tc>
          <w:tcPr>
            <w:tcW w:type="dxa" w:w="1234"/>
          </w:tcPr>
          <w:p>
            <w:r>
              <w:rPr>
                <w:rFonts w:ascii="Calibri" w:hAnsi="Calibri"/>
                <w:sz w:val="22"/>
              </w:rPr>
              <w:t>N/A (no Q2 rev. guidance)</w:t>
            </w:r>
          </w:p>
        </w:tc>
      </w:tr>
      <w:tr>
        <w:tc>
          <w:tcPr>
            <w:tcW w:type="dxa" w:w="1234"/>
          </w:tcPr>
          <w:p>
            <w:r>
              <w:rPr>
                <w:rFonts w:ascii="Calibri" w:hAnsi="Calibri"/>
                <w:sz w:val="22"/>
              </w:rPr>
              <w:t>EPS — Diluted Operating ($)</w:t>
            </w:r>
          </w:p>
        </w:tc>
        <w:tc>
          <w:tcPr>
            <w:tcW w:type="dxa" w:w="1234"/>
          </w:tcPr>
          <w:p>
            <w:r>
              <w:rPr>
                <w:rFonts w:ascii="Calibri" w:hAnsi="Calibri"/>
                <w:sz w:val="22"/>
              </w:rPr>
              <w:t>$4.10</w:t>
            </w:r>
          </w:p>
        </w:tc>
        <w:tc>
          <w:tcPr>
            <w:tcW w:type="dxa" w:w="1234"/>
          </w:tcPr>
          <w:p>
            <w:r>
              <w:rPr>
                <w:rFonts w:ascii="Calibri" w:hAnsi="Calibri"/>
                <w:sz w:val="22"/>
              </w:rPr>
              <w:t>$3.74</w:t>
            </w:r>
          </w:p>
        </w:tc>
        <w:tc>
          <w:tcPr>
            <w:tcW w:type="dxa" w:w="1234"/>
          </w:tcPr>
          <w:p>
            <w:r>
              <w:rPr>
                <w:rFonts w:ascii="Calibri" w:hAnsi="Calibri"/>
                <w:sz w:val="22"/>
              </w:rPr>
              <w:t>$3.98</w:t>
            </w:r>
          </w:p>
        </w:tc>
        <w:tc>
          <w:tcPr>
            <w:tcW w:type="dxa" w:w="1234"/>
          </w:tcPr>
          <w:p>
            <w:r>
              <w:rPr>
                <w:rFonts w:ascii="Calibri" w:hAnsi="Calibri"/>
                <w:sz w:val="22"/>
              </w:rPr>
              <w:t>+6.4% YoY</w:t>
            </w:r>
          </w:p>
        </w:tc>
        <w:tc>
          <w:tcPr>
            <w:tcW w:type="dxa" w:w="1234"/>
          </w:tcPr>
          <w:p>
            <w:r>
              <w:rPr>
                <w:rFonts w:ascii="Calibri" w:hAnsi="Calibri"/>
                <w:sz w:val="22"/>
              </w:rPr>
              <w:t>FY2026: $16.45–$16.55 (midpoint $16.50)</w:t>
            </w:r>
          </w:p>
        </w:tc>
        <w:tc>
          <w:tcPr>
            <w:tcW w:type="dxa" w:w="1234"/>
          </w:tcPr>
          <w:p>
            <w:r>
              <w:rPr>
                <w:rFonts w:ascii="Calibri" w:hAnsi="Calibri"/>
                <w:sz w:val="22"/>
              </w:rPr>
              <w:t>FY consensus $16.77 vs. guidance midpoint $16.50; +1.6% above</w:t>
            </w:r>
          </w:p>
        </w:tc>
      </w:tr>
      <w:tr>
        <w:tc>
          <w:tcPr>
            <w:tcW w:type="dxa" w:w="1234"/>
          </w:tcPr>
          <w:p>
            <w:r>
              <w:rPr>
                <w:rFonts w:ascii="Calibri" w:hAnsi="Calibri"/>
                <w:sz w:val="22"/>
              </w:rPr>
              <w:t>Operating Margin (%)</w:t>
            </w:r>
          </w:p>
        </w:tc>
        <w:tc>
          <w:tcPr>
            <w:tcW w:type="dxa" w:w="1234"/>
          </w:tcPr>
          <w:p>
            <w:r>
              <w:rPr>
                <w:rFonts w:ascii="Calibri" w:hAnsi="Calibri"/>
                <w:sz w:val="22"/>
              </w:rPr>
              <w:t>10.53%</w:t>
            </w:r>
          </w:p>
        </w:tc>
        <w:tc>
          <w:tcPr>
            <w:tcW w:type="dxa" w:w="1234"/>
          </w:tcPr>
          <w:p>
            <w:r>
              <w:rPr>
                <w:rFonts w:ascii="Calibri" w:hAnsi="Calibri"/>
                <w:sz w:val="22"/>
              </w:rPr>
              <w:t>10.01%</w:t>
            </w:r>
          </w:p>
        </w:tc>
        <w:tc>
          <w:tcPr>
            <w:tcW w:type="dxa" w:w="1234"/>
          </w:tcPr>
          <w:p>
            <w:r>
              <w:rPr>
                <w:rFonts w:ascii="Calibri" w:hAnsi="Calibri"/>
                <w:sz w:val="22"/>
              </w:rPr>
              <w:t>10.20%</w:t>
            </w:r>
          </w:p>
        </w:tc>
        <w:tc>
          <w:tcPr>
            <w:tcW w:type="dxa" w:w="1234"/>
          </w:tcPr>
          <w:p>
            <w:r>
              <w:rPr>
                <w:rFonts w:ascii="Calibri" w:hAnsi="Calibri"/>
                <w:sz w:val="22"/>
              </w:rPr>
              <w:t>+19 bps YoY</w:t>
            </w:r>
          </w:p>
        </w:tc>
        <w:tc>
          <w:tcPr>
            <w:tcW w:type="dxa" w:w="1234"/>
          </w:tcPr>
          <w:p>
            <w:r>
              <w:rPr>
                <w:rFonts w:ascii="Calibri" w:hAnsi="Calibri"/>
                <w:sz w:val="22"/>
              </w:rPr>
              <w:t>FY2026: ~10.4% (implied)</w:t>
            </w:r>
          </w:p>
        </w:tc>
        <w:tc>
          <w:tcPr>
            <w:tcW w:type="dxa" w:w="1234"/>
          </w:tcPr>
          <w:p>
            <w:r>
              <w:rPr>
                <w:rFonts w:ascii="Calibri" w:hAnsi="Calibri"/>
                <w:sz w:val="22"/>
              </w:rPr>
              <w:t>~In line with FY guidance</w:t>
            </w:r>
          </w:p>
        </w:tc>
      </w:tr>
      <w:tr>
        <w:tc>
          <w:tcPr>
            <w:tcW w:type="dxa" w:w="1234"/>
          </w:tcPr>
          <w:p>
            <w:r>
              <w:rPr>
                <w:rFonts w:ascii="Calibri" w:hAnsi="Calibri"/>
                <w:sz w:val="22"/>
              </w:rPr>
              <w:t>Revenue — Aerospace ($B)</w:t>
            </w:r>
          </w:p>
        </w:tc>
        <w:tc>
          <w:tcPr>
            <w:tcW w:type="dxa" w:w="1234"/>
          </w:tcPr>
          <w:p>
            <w:r>
              <w:rPr>
                <w:rFonts w:ascii="Calibri" w:hAnsi="Calibri"/>
                <w:sz w:val="22"/>
              </w:rPr>
              <w:t>$3.28B</w:t>
            </w:r>
          </w:p>
        </w:tc>
        <w:tc>
          <w:tcPr>
            <w:tcW w:type="dxa" w:w="1234"/>
          </w:tcPr>
          <w:p>
            <w:r>
              <w:rPr>
                <w:rFonts w:ascii="Calibri" w:hAnsi="Calibri"/>
                <w:sz w:val="22"/>
              </w:rPr>
              <w:t>$3.06B</w:t>
            </w:r>
          </w:p>
        </w:tc>
        <w:tc>
          <w:tcPr>
            <w:tcW w:type="dxa" w:w="1234"/>
          </w:tcPr>
          <w:p>
            <w:r>
              <w:rPr>
                <w:rFonts w:ascii="Calibri" w:hAnsi="Calibri"/>
                <w:sz w:val="22"/>
              </w:rPr>
              <w:t>$3.31B</w:t>
            </w:r>
          </w:p>
        </w:tc>
        <w:tc>
          <w:tcPr>
            <w:tcW w:type="dxa" w:w="1234"/>
          </w:tcPr>
          <w:p>
            <w:r>
              <w:rPr>
                <w:rFonts w:ascii="Calibri" w:hAnsi="Calibri"/>
                <w:sz w:val="22"/>
              </w:rPr>
              <w:t>+8.2% YoY</w:t>
            </w:r>
          </w:p>
        </w:tc>
        <w:tc>
          <w:tcPr>
            <w:tcW w:type="dxa" w:w="1234"/>
          </w:tcPr>
          <w:p>
            <w:r>
              <w:rPr>
                <w:rFonts w:ascii="Calibri" w:hAnsi="Calibri"/>
                <w:sz w:val="22"/>
              </w:rPr>
              <w:t>Q2 deliveries “very similar” to Q1 (38 aircraft)</w:t>
            </w:r>
          </w:p>
        </w:tc>
        <w:tc>
          <w:tcPr>
            <w:tcW w:type="dxa" w:w="1234"/>
          </w:tcPr>
          <w:p>
            <w:r>
              <w:rPr>
                <w:rFonts w:ascii="Calibri" w:hAnsi="Calibri"/>
                <w:sz w:val="22"/>
              </w:rPr>
              <w:t>N/A (no segment rev. guidance)</w:t>
            </w:r>
          </w:p>
        </w:tc>
      </w:tr>
      <w:tr>
        <w:tc>
          <w:tcPr>
            <w:tcW w:type="dxa" w:w="1234"/>
          </w:tcPr>
          <w:p>
            <w:r>
              <w:rPr>
                <w:rFonts w:ascii="Calibri" w:hAnsi="Calibri"/>
                <w:sz w:val="22"/>
              </w:rPr>
              <w:t>Aerospace Op. Income ($M)</w:t>
            </w:r>
          </w:p>
        </w:tc>
        <w:tc>
          <w:tcPr>
            <w:tcW w:type="dxa" w:w="1234"/>
          </w:tcPr>
          <w:p>
            <w:r>
              <w:rPr>
                <w:rFonts w:ascii="Calibri" w:hAnsi="Calibri"/>
                <w:sz w:val="22"/>
              </w:rPr>
              <w:t>$493M</w:t>
            </w:r>
          </w:p>
        </w:tc>
        <w:tc>
          <w:tcPr>
            <w:tcW w:type="dxa" w:w="1234"/>
          </w:tcPr>
          <w:p>
            <w:r>
              <w:rPr>
                <w:rFonts w:ascii="Calibri" w:hAnsi="Calibri"/>
                <w:sz w:val="22"/>
              </w:rPr>
              <w:t>$403M</w:t>
            </w:r>
          </w:p>
        </w:tc>
        <w:tc>
          <w:tcPr>
            <w:tcW w:type="dxa" w:w="1234"/>
          </w:tcPr>
          <w:p>
            <w:r>
              <w:rPr>
                <w:rFonts w:ascii="Calibri" w:hAnsi="Calibri"/>
                <w:sz w:val="22"/>
              </w:rPr>
              <w:t>$458M</w:t>
            </w:r>
          </w:p>
        </w:tc>
        <w:tc>
          <w:tcPr>
            <w:tcW w:type="dxa" w:w="1234"/>
          </w:tcPr>
          <w:p>
            <w:r>
              <w:rPr>
                <w:rFonts w:ascii="Calibri" w:hAnsi="Calibri"/>
                <w:sz w:val="22"/>
              </w:rPr>
              <w:t>+13.6% YoY</w:t>
            </w:r>
          </w:p>
        </w:tc>
        <w:tc>
          <w:tcPr>
            <w:tcW w:type="dxa" w:w="1234"/>
          </w:tcPr>
          <w:p>
            <w:r>
              <w:rPr>
                <w:rFonts w:ascii="Calibri" w:hAnsi="Calibri"/>
                <w:sz w:val="22"/>
              </w:rPr>
              <w:t>Margins “durable”; some Q2/Q3 mix headwind expected</w:t>
            </w:r>
          </w:p>
        </w:tc>
        <w:tc>
          <w:tcPr>
            <w:tcW w:type="dxa" w:w="1234"/>
          </w:tcPr>
          <w:p>
            <w:r>
              <w:rPr>
                <w:rFonts w:ascii="Calibri" w:hAnsi="Calibri"/>
                <w:sz w:val="22"/>
              </w:rPr>
              <w:t>N/A</w:t>
            </w:r>
          </w:p>
        </w:tc>
      </w:tr>
      <w:tr>
        <w:tc>
          <w:tcPr>
            <w:tcW w:type="dxa" w:w="1234"/>
          </w:tcPr>
          <w:p>
            <w:r>
              <w:rPr>
                <w:rFonts w:ascii="Calibri" w:hAnsi="Calibri"/>
                <w:sz w:val="22"/>
              </w:rPr>
              <w:t>Revenue — Marine Systems ($B)</w:t>
            </w:r>
          </w:p>
        </w:tc>
        <w:tc>
          <w:tcPr>
            <w:tcW w:type="dxa" w:w="1234"/>
          </w:tcPr>
          <w:p>
            <w:r>
              <w:rPr>
                <w:rFonts w:ascii="Calibri" w:hAnsi="Calibri"/>
                <w:sz w:val="22"/>
              </w:rPr>
              <w:t>$4.34B</w:t>
            </w:r>
          </w:p>
        </w:tc>
        <w:tc>
          <w:tcPr>
            <w:tcW w:type="dxa" w:w="1234"/>
          </w:tcPr>
          <w:p>
            <w:r>
              <w:rPr>
                <w:rFonts w:ascii="Calibri" w:hAnsi="Calibri"/>
                <w:sz w:val="22"/>
              </w:rPr>
              <w:t>$4.22B</w:t>
            </w:r>
          </w:p>
        </w:tc>
        <w:tc>
          <w:tcPr>
            <w:tcW w:type="dxa" w:w="1234"/>
          </w:tcPr>
          <w:p>
            <w:r>
              <w:rPr>
                <w:rFonts w:ascii="Calibri" w:hAnsi="Calibri"/>
                <w:sz w:val="22"/>
              </w:rPr>
              <w:t>$4.37B</w:t>
            </w:r>
          </w:p>
        </w:tc>
        <w:tc>
          <w:tcPr>
            <w:tcW w:type="dxa" w:w="1234"/>
          </w:tcPr>
          <w:p>
            <w:r>
              <w:rPr>
                <w:rFonts w:ascii="Calibri" w:hAnsi="Calibri"/>
                <w:sz w:val="22"/>
              </w:rPr>
              <w:t>+3.6% YoY</w:t>
            </w:r>
          </w:p>
        </w:tc>
        <w:tc>
          <w:tcPr>
            <w:tcW w:type="dxa" w:w="1234"/>
          </w:tcPr>
          <w:p>
            <w:r>
              <w:rPr>
                <w:rFonts w:ascii="Calibri" w:hAnsi="Calibri"/>
                <w:sz w:val="22"/>
              </w:rPr>
              <w:t>Throughput ramp ongoing; Columbia on track</w:t>
            </w:r>
          </w:p>
        </w:tc>
        <w:tc>
          <w:tcPr>
            <w:tcW w:type="dxa" w:w="1234"/>
          </w:tcPr>
          <w:p>
            <w:r>
              <w:rPr>
                <w:rFonts w:ascii="Calibri" w:hAnsi="Calibri"/>
                <w:sz w:val="22"/>
              </w:rPr>
              <w:t>N/A</w:t>
            </w:r>
          </w:p>
        </w:tc>
      </w:tr>
      <w:tr>
        <w:tc>
          <w:tcPr>
            <w:tcW w:type="dxa" w:w="1234"/>
          </w:tcPr>
          <w:p>
            <w:r>
              <w:rPr>
                <w:rFonts w:ascii="Calibri" w:hAnsi="Calibri"/>
                <w:sz w:val="22"/>
              </w:rPr>
              <w:t>Marine Op. Income ($M)</w:t>
            </w:r>
          </w:p>
        </w:tc>
        <w:tc>
          <w:tcPr>
            <w:tcW w:type="dxa" w:w="1234"/>
          </w:tcPr>
          <w:p>
            <w:r>
              <w:rPr>
                <w:rFonts w:ascii="Calibri" w:hAnsi="Calibri"/>
                <w:sz w:val="22"/>
              </w:rPr>
              <w:t>$316M</w:t>
            </w:r>
          </w:p>
        </w:tc>
        <w:tc>
          <w:tcPr>
            <w:tcW w:type="dxa" w:w="1234"/>
          </w:tcPr>
          <w:p>
            <w:r>
              <w:rPr>
                <w:rFonts w:ascii="Calibri" w:hAnsi="Calibri"/>
                <w:sz w:val="22"/>
              </w:rPr>
              <w:t>$291M</w:t>
            </w:r>
          </w:p>
        </w:tc>
        <w:tc>
          <w:tcPr>
            <w:tcW w:type="dxa" w:w="1234"/>
          </w:tcPr>
          <w:p>
            <w:r>
              <w:rPr>
                <w:rFonts w:ascii="Calibri" w:hAnsi="Calibri"/>
                <w:sz w:val="22"/>
              </w:rPr>
              <w:t>$316M</w:t>
            </w:r>
          </w:p>
        </w:tc>
        <w:tc>
          <w:tcPr>
            <w:tcW w:type="dxa" w:w="1234"/>
          </w:tcPr>
          <w:p>
            <w:r>
              <w:rPr>
                <w:rFonts w:ascii="Calibri" w:hAnsi="Calibri"/>
                <w:sz w:val="22"/>
              </w:rPr>
              <w:t>+8.6% YoY</w:t>
            </w:r>
          </w:p>
        </w:tc>
        <w:tc>
          <w:tcPr>
            <w:tcW w:type="dxa" w:w="1234"/>
          </w:tcPr>
          <w:p>
            <w:r>
              <w:rPr>
                <w:rFonts w:ascii="Calibri" w:hAnsi="Calibri"/>
                <w:sz w:val="22"/>
              </w:rPr>
              <w:t>Productivity improvements ongoing</w:t>
            </w:r>
          </w:p>
        </w:tc>
        <w:tc>
          <w:tcPr>
            <w:tcW w:type="dxa" w:w="1234"/>
          </w:tcPr>
          <w:p>
            <w:r>
              <w:rPr>
                <w:rFonts w:ascii="Calibri" w:hAnsi="Calibri"/>
                <w:sz w:val="22"/>
              </w:rPr>
              <w:t>N/A</w:t>
            </w:r>
          </w:p>
        </w:tc>
      </w:tr>
      <w:tr>
        <w:tc>
          <w:tcPr>
            <w:tcW w:type="dxa" w:w="1234"/>
          </w:tcPr>
          <w:p>
            <w:r>
              <w:rPr>
                <w:rFonts w:ascii="Calibri" w:hAnsi="Calibri"/>
                <w:sz w:val="22"/>
              </w:rPr>
              <w:t>Revenue — Combat Systems ($B)</w:t>
            </w:r>
          </w:p>
        </w:tc>
        <w:tc>
          <w:tcPr>
            <w:tcW w:type="dxa" w:w="1234"/>
          </w:tcPr>
          <w:p>
            <w:r>
              <w:rPr>
                <w:rFonts w:ascii="Calibri" w:hAnsi="Calibri"/>
                <w:sz w:val="22"/>
              </w:rPr>
              <w:t>$2.28B</w:t>
            </w:r>
          </w:p>
        </w:tc>
        <w:tc>
          <w:tcPr>
            <w:tcW w:type="dxa" w:w="1234"/>
          </w:tcPr>
          <w:p>
            <w:r>
              <w:rPr>
                <w:rFonts w:ascii="Calibri" w:hAnsi="Calibri"/>
                <w:sz w:val="22"/>
              </w:rPr>
              <w:t>$2.28B</w:t>
            </w:r>
          </w:p>
        </w:tc>
        <w:tc>
          <w:tcPr>
            <w:tcW w:type="dxa" w:w="1234"/>
          </w:tcPr>
          <w:p>
            <w:r>
              <w:rPr>
                <w:rFonts w:ascii="Calibri" w:hAnsi="Calibri"/>
                <w:sz w:val="22"/>
              </w:rPr>
              <w:t>$2.36B</w:t>
            </w:r>
          </w:p>
        </w:tc>
        <w:tc>
          <w:tcPr>
            <w:tcW w:type="dxa" w:w="1234"/>
          </w:tcPr>
          <w:p>
            <w:r>
              <w:rPr>
                <w:rFonts w:ascii="Calibri" w:hAnsi="Calibri"/>
                <w:sz w:val="22"/>
              </w:rPr>
              <w:t>+3.5% YoY</w:t>
            </w:r>
          </w:p>
        </w:tc>
        <w:tc>
          <w:tcPr>
            <w:tcW w:type="dxa" w:w="1234"/>
          </w:tcPr>
          <w:p>
            <w:r>
              <w:rPr>
                <w:rFonts w:ascii="Calibri" w:hAnsi="Calibri"/>
                <w:sz w:val="22"/>
              </w:rPr>
              <w:t>European orders converting; munitions growth</w:t>
            </w:r>
          </w:p>
        </w:tc>
        <w:tc>
          <w:tcPr>
            <w:tcW w:type="dxa" w:w="1234"/>
          </w:tcPr>
          <w:p>
            <w:r>
              <w:rPr>
                <w:rFonts w:ascii="Calibri" w:hAnsi="Calibri"/>
                <w:sz w:val="22"/>
              </w:rPr>
              <w:t>N/A</w:t>
            </w:r>
          </w:p>
        </w:tc>
      </w:tr>
      <w:tr>
        <w:tc>
          <w:tcPr>
            <w:tcW w:type="dxa" w:w="1234"/>
          </w:tcPr>
          <w:p>
            <w:r>
              <w:rPr>
                <w:rFonts w:ascii="Calibri" w:hAnsi="Calibri"/>
                <w:sz w:val="22"/>
              </w:rPr>
              <w:t>Combat Systems Op. Income ($M)</w:t>
            </w:r>
          </w:p>
        </w:tc>
        <w:tc>
          <w:tcPr>
            <w:tcW w:type="dxa" w:w="1234"/>
          </w:tcPr>
          <w:p>
            <w:r>
              <w:rPr>
                <w:rFonts w:ascii="Calibri" w:hAnsi="Calibri"/>
                <w:sz w:val="22"/>
              </w:rPr>
              <w:t>$310M</w:t>
            </w:r>
          </w:p>
        </w:tc>
        <w:tc>
          <w:tcPr>
            <w:tcW w:type="dxa" w:w="1234"/>
          </w:tcPr>
          <w:p>
            <w:r>
              <w:rPr>
                <w:rFonts w:ascii="Calibri" w:hAnsi="Calibri"/>
                <w:sz w:val="22"/>
              </w:rPr>
              <w:t>$324M</w:t>
            </w:r>
          </w:p>
        </w:tc>
        <w:tc>
          <w:tcPr>
            <w:tcW w:type="dxa" w:w="1234"/>
          </w:tcPr>
          <w:p>
            <w:r>
              <w:rPr>
                <w:rFonts w:ascii="Calibri" w:hAnsi="Calibri"/>
                <w:sz w:val="22"/>
              </w:rPr>
              <w:t>$327M</w:t>
            </w:r>
          </w:p>
        </w:tc>
        <w:tc>
          <w:tcPr>
            <w:tcW w:type="dxa" w:w="1234"/>
          </w:tcPr>
          <w:p>
            <w:r>
              <w:rPr>
                <w:rFonts w:ascii="Calibri" w:hAnsi="Calibri"/>
                <w:sz w:val="22"/>
              </w:rPr>
              <w:t>+0.9% YoY</w:t>
            </w:r>
          </w:p>
        </w:tc>
        <w:tc>
          <w:tcPr>
            <w:tcW w:type="dxa" w:w="1234"/>
          </w:tcPr>
          <w:p>
            <w:r>
              <w:rPr>
                <w:rFonts w:ascii="Calibri" w:hAnsi="Calibri"/>
                <w:sz w:val="22"/>
              </w:rPr>
              <w:t>Margins stable ~13.5–14%</w:t>
            </w:r>
          </w:p>
        </w:tc>
        <w:tc>
          <w:tcPr>
            <w:tcW w:type="dxa" w:w="1234"/>
          </w:tcPr>
          <w:p>
            <w:r>
              <w:rPr>
                <w:rFonts w:ascii="Calibri" w:hAnsi="Calibri"/>
                <w:sz w:val="22"/>
              </w:rPr>
              <w:t>N/A</w:t>
            </w:r>
          </w:p>
        </w:tc>
      </w:tr>
      <w:tr>
        <w:tc>
          <w:tcPr>
            <w:tcW w:type="dxa" w:w="1234"/>
          </w:tcPr>
          <w:p>
            <w:r>
              <w:rPr>
                <w:rFonts w:ascii="Calibri" w:hAnsi="Calibri"/>
                <w:sz w:val="22"/>
              </w:rPr>
              <w:t>Revenue — Technologies ($B)</w:t>
            </w:r>
          </w:p>
        </w:tc>
        <w:tc>
          <w:tcPr>
            <w:tcW w:type="dxa" w:w="1234"/>
          </w:tcPr>
          <w:p>
            <w:r>
              <w:rPr>
                <w:rFonts w:ascii="Calibri" w:hAnsi="Calibri"/>
                <w:sz w:val="22"/>
              </w:rPr>
              <w:t>$3.58B</w:t>
            </w:r>
          </w:p>
        </w:tc>
        <w:tc>
          <w:tcPr>
            <w:tcW w:type="dxa" w:w="1234"/>
          </w:tcPr>
          <w:p>
            <w:r>
              <w:rPr>
                <w:rFonts w:ascii="Calibri" w:hAnsi="Calibri"/>
                <w:sz w:val="22"/>
              </w:rPr>
              <w:t>$3.48B</w:t>
            </w:r>
          </w:p>
        </w:tc>
        <w:tc>
          <w:tcPr>
            <w:tcW w:type="dxa" w:w="1234"/>
          </w:tcPr>
          <w:p>
            <w:r>
              <w:rPr>
                <w:rFonts w:ascii="Calibri" w:hAnsi="Calibri"/>
                <w:sz w:val="22"/>
              </w:rPr>
              <w:t>$3.49B</w:t>
            </w:r>
          </w:p>
        </w:tc>
        <w:tc>
          <w:tcPr>
            <w:tcW w:type="dxa" w:w="1234"/>
          </w:tcPr>
          <w:p>
            <w:r>
              <w:rPr>
                <w:rFonts w:ascii="Calibri" w:hAnsi="Calibri"/>
                <w:sz w:val="22"/>
              </w:rPr>
              <w:t>+0.3% YoY</w:t>
            </w:r>
          </w:p>
        </w:tc>
        <w:tc>
          <w:tcPr>
            <w:tcW w:type="dxa" w:w="1234"/>
          </w:tcPr>
          <w:p>
            <w:r>
              <w:rPr>
                <w:rFonts w:ascii="Calibri" w:hAnsi="Calibri"/>
                <w:sz w:val="22"/>
              </w:rPr>
              <w:t>Mission Systems leading; GDIT backlog +5% vs. YE2025</w:t>
            </w:r>
          </w:p>
        </w:tc>
        <w:tc>
          <w:tcPr>
            <w:tcW w:type="dxa" w:w="1234"/>
          </w:tcPr>
          <w:p>
            <w:r>
              <w:rPr>
                <w:rFonts w:ascii="Calibri" w:hAnsi="Calibri"/>
                <w:sz w:val="22"/>
              </w:rPr>
              <w:t>N/A</w:t>
            </w:r>
          </w:p>
        </w:tc>
      </w:tr>
      <w:tr>
        <w:tc>
          <w:tcPr>
            <w:tcW w:type="dxa" w:w="1234"/>
          </w:tcPr>
          <w:p>
            <w:r>
              <w:rPr>
                <w:rFonts w:ascii="Calibri" w:hAnsi="Calibri"/>
                <w:sz w:val="22"/>
              </w:rPr>
              <w:t>Technologies Op. Income ($M)</w:t>
            </w:r>
          </w:p>
        </w:tc>
        <w:tc>
          <w:tcPr>
            <w:tcW w:type="dxa" w:w="1234"/>
          </w:tcPr>
          <w:p>
            <w:r>
              <w:rPr>
                <w:rFonts w:ascii="Calibri" w:hAnsi="Calibri"/>
                <w:sz w:val="22"/>
              </w:rPr>
              <w:t>$339M</w:t>
            </w:r>
          </w:p>
        </w:tc>
        <w:tc>
          <w:tcPr>
            <w:tcW w:type="dxa" w:w="1234"/>
          </w:tcPr>
          <w:p>
            <w:r>
              <w:rPr>
                <w:rFonts w:ascii="Calibri" w:hAnsi="Calibri"/>
                <w:sz w:val="22"/>
              </w:rPr>
              <w:t>$332M</w:t>
            </w:r>
          </w:p>
        </w:tc>
        <w:tc>
          <w:tcPr>
            <w:tcW w:type="dxa" w:w="1234"/>
          </w:tcPr>
          <w:p>
            <w:r>
              <w:rPr>
                <w:rFonts w:ascii="Calibri" w:hAnsi="Calibri"/>
                <w:sz w:val="22"/>
              </w:rPr>
              <w:t>$323M</w:t>
            </w:r>
          </w:p>
        </w:tc>
        <w:tc>
          <w:tcPr>
            <w:tcW w:type="dxa" w:w="1234"/>
          </w:tcPr>
          <w:p>
            <w:r>
              <w:rPr>
                <w:rFonts w:ascii="Calibri" w:hAnsi="Calibri"/>
                <w:sz w:val="22"/>
              </w:rPr>
              <w:t>-2.7% YoY</w:t>
            </w:r>
          </w:p>
        </w:tc>
        <w:tc>
          <w:tcPr>
            <w:tcW w:type="dxa" w:w="1234"/>
          </w:tcPr>
          <w:p>
            <w:r>
              <w:rPr>
                <w:rFonts w:ascii="Calibri" w:hAnsi="Calibri"/>
                <w:sz w:val="22"/>
              </w:rPr>
              <w:t>Mission Systems mix shift to differentiated programs</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$1.95B (174% conversion)</w:t>
            </w:r>
          </w:p>
        </w:tc>
        <w:tc>
          <w:tcPr>
            <w:tcW w:type="dxa" w:w="1234"/>
          </w:tcPr>
          <w:p>
            <w:r>
              <w:rPr>
                <w:rFonts w:ascii="Calibri" w:hAnsi="Calibri"/>
                <w:sz w:val="22"/>
              </w:rPr>
              <w:t>$1.40B</w:t>
            </w:r>
          </w:p>
        </w:tc>
        <w:tc>
          <w:tcPr>
            <w:tcW w:type="dxa" w:w="1234"/>
          </w:tcPr>
          <w:p>
            <w:r>
              <w:rPr>
                <w:rFonts w:ascii="Calibri" w:hAnsi="Calibri"/>
                <w:sz w:val="22"/>
              </w:rPr>
              <w:t>$0.65B</w:t>
            </w:r>
          </w:p>
        </w:tc>
        <w:tc>
          <w:tcPr>
            <w:tcW w:type="dxa" w:w="1234"/>
          </w:tcPr>
          <w:p>
            <w:r>
              <w:rPr>
                <w:rFonts w:ascii="Calibri" w:hAnsi="Calibri"/>
                <w:sz w:val="22"/>
              </w:rPr>
              <w:t>-53.6% YoY</w:t>
            </w:r>
          </w:p>
        </w:tc>
        <w:tc>
          <w:tcPr>
            <w:tcW w:type="dxa" w:w="1234"/>
          </w:tcPr>
          <w:p>
            <w:r>
              <w:rPr>
                <w:rFonts w:ascii="Calibri" w:hAnsi="Calibri"/>
                <w:sz w:val="22"/>
              </w:rPr>
              <w:t>Q1 was largest FCF quarter; Q2–Q4 positive but lower</w:t>
            </w:r>
          </w:p>
        </w:tc>
        <w:tc>
          <w:tcPr>
            <w:tcW w:type="dxa" w:w="1234"/>
          </w:tcPr>
          <w:p>
            <w:r>
              <w:rPr>
                <w:rFonts w:ascii="Calibri" w:hAnsi="Calibri"/>
                <w:sz w:val="22"/>
              </w:rPr>
              <w:t>N/A</w:t>
            </w:r>
          </w:p>
        </w:tc>
      </w:tr>
      <w:tr>
        <w:tc>
          <w:tcPr>
            <w:tcW w:type="dxa" w:w="1234"/>
          </w:tcPr>
          <w:p>
            <w:r>
              <w:rPr>
                <w:rFonts w:ascii="Calibri" w:hAnsi="Calibri"/>
                <w:sz w:val="22"/>
              </w:rPr>
              <w:t>Backlog ($B)</w:t>
            </w:r>
          </w:p>
        </w:tc>
        <w:tc>
          <w:tcPr>
            <w:tcW w:type="dxa" w:w="1234"/>
          </w:tcPr>
          <w:p>
            <w:r>
              <w:rPr>
                <w:rFonts w:ascii="Calibri" w:hAnsi="Calibri"/>
                <w:sz w:val="22"/>
              </w:rPr>
              <w:t>$131.0B</w:t>
            </w:r>
          </w:p>
        </w:tc>
        <w:tc>
          <w:tcPr>
            <w:tcW w:type="dxa" w:w="1234"/>
          </w:tcPr>
          <w:p>
            <w:r>
              <w:rPr>
                <w:rFonts w:ascii="Calibri" w:hAnsi="Calibri"/>
                <w:sz w:val="22"/>
              </w:rPr>
              <w:t>$103.7B</w:t>
            </w:r>
          </w:p>
        </w:tc>
        <w:tc>
          <w:tcPr>
            <w:tcW w:type="dxa" w:w="1234"/>
          </w:tcPr>
          <w:p>
            <w:r>
              <w:rPr>
                <w:rFonts w:ascii="Calibri" w:hAnsi="Calibri"/>
                <w:sz w:val="22"/>
              </w:rPr>
              <w:t>$127.9B</w:t>
            </w:r>
          </w:p>
        </w:tc>
        <w:tc>
          <w:tcPr>
            <w:tcW w:type="dxa" w:w="1234"/>
          </w:tcPr>
          <w:p>
            <w:r>
              <w:rPr>
                <w:rFonts w:ascii="Calibri" w:hAnsi="Calibri"/>
                <w:sz w:val="22"/>
              </w:rPr>
              <w:t>+23.3% YoY</w:t>
            </w:r>
          </w:p>
        </w:tc>
        <w:tc>
          <w:tcPr>
            <w:tcW w:type="dxa" w:w="1234"/>
          </w:tcPr>
          <w:p>
            <w:r>
              <w:rPr>
                <w:rFonts w:ascii="Calibri" w:hAnsi="Calibri"/>
                <w:sz w:val="22"/>
              </w:rPr>
              <w:t>Record backlog; continued order momentum expected</w:t>
            </w:r>
          </w:p>
        </w:tc>
        <w:tc>
          <w:tcPr>
            <w:tcW w:type="dxa" w:w="1234"/>
          </w:tcPr>
          <w:p>
            <w:r>
              <w:rPr>
                <w:rFonts w:ascii="Calibri" w:hAnsi="Calibri"/>
                <w:sz w:val="22"/>
              </w:rPr>
              <w:t>N/A</w:t>
            </w:r>
          </w:p>
        </w:tc>
      </w:tr>
      <w:tr>
        <w:tc>
          <w:tcPr>
            <w:tcW w:type="dxa" w:w="1234"/>
          </w:tcPr>
          <w:p>
            <w:r>
              <w:rPr>
                <w:rFonts w:ascii="Calibri" w:hAnsi="Calibri"/>
                <w:sz w:val="22"/>
              </w:rPr>
              <w:t>Book-to-Bill (x)</w:t>
            </w:r>
          </w:p>
        </w:tc>
        <w:tc>
          <w:tcPr>
            <w:tcW w:type="dxa" w:w="1234"/>
          </w:tcPr>
          <w:p>
            <w:r>
              <w:rPr>
                <w:rFonts w:ascii="Calibri" w:hAnsi="Calibri"/>
                <w:sz w:val="22"/>
              </w:rPr>
              <w:t>2.0x</w:t>
            </w:r>
          </w:p>
        </w:tc>
        <w:tc>
          <w:tcPr>
            <w:tcW w:type="dxa" w:w="1234"/>
          </w:tcPr>
          <w:p>
            <w:r>
              <w:rPr>
                <w:rFonts w:ascii="Calibri" w:hAnsi="Calibri"/>
                <w:sz w:val="22"/>
              </w:rPr>
              <w:t>2.15x</w:t>
            </w:r>
          </w:p>
        </w:tc>
        <w:tc>
          <w:tcPr>
            <w:tcW w:type="dxa" w:w="1234"/>
          </w:tcPr>
          <w:p>
            <w:r>
              <w:rPr>
                <w:rFonts w:ascii="Calibri" w:hAnsi="Calibri"/>
                <w:sz w:val="22"/>
              </w:rPr>
              <w:t>0.78x</w:t>
            </w:r>
          </w:p>
        </w:tc>
        <w:tc>
          <w:tcPr>
            <w:tcW w:type="dxa" w:w="1234"/>
          </w:tcPr>
          <w:p>
            <w:r>
              <w:rPr>
                <w:rFonts w:ascii="Calibri" w:hAnsi="Calibri"/>
                <w:sz w:val="22"/>
              </w:rPr>
              <w:t>Normalization expected after Q1 surge</w:t>
            </w:r>
          </w:p>
        </w:tc>
        <w:tc>
          <w:tcPr>
            <w:tcW w:type="dxa" w:w="1234"/>
          </w:tcPr>
          <w:p>
            <w:r>
              <w:rPr>
                <w:rFonts w:ascii="Calibri" w:hAnsi="Calibri"/>
                <w:sz w:val="22"/>
              </w:rPr>
              <w:t>Trailing 12-month B2B remains well above 1x</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GD has beaten revenue consensus in 6 of the last 8 quarters and EPS in 6 of 8, with the two misses both occurring in Q2–Q3 2024 when Marine Systems throughput was most constrained. The consistent beat cadence since Q4 2024 reflects improving operational execution, and the Q1 2026 beat was the largest in recent history.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FY2026 EPS guidance from $16.10–$16.20 to $16.45–$16.55 at Q1 earnings — a meaningful $0.35 midpoint lift driven by Aerospace, Marine, and Technologies — and tone has shifted from cautious to confidently optimistic, particularly on Aerospace margin durability and Marine throughput.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Jan 2026)</w:t>
            </w:r>
          </w:p>
        </w:tc>
        <w:tc>
          <w:tcPr>
            <w:tcW w:type="dxa" w:w="1728"/>
            <w:shd w:val="clear" w:color="auto" w:fill="3B4259"/>
          </w:tcPr>
          <w:p>
            <w:r>
              <w:rPr>
                <w:rFonts w:ascii="Calibri" w:hAnsi="Calibri"/>
                <w:b/>
                <w:color w:val="FFFFFF"/>
                <w:sz w:val="22"/>
              </w:rPr>
              <w:t>Revised Guidance (Q1 2026 Earnings Call, Apr 29,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EPS (Diluted Operating)</w:t>
            </w:r>
          </w:p>
        </w:tc>
        <w:tc>
          <w:tcPr>
            <w:tcW w:type="dxa" w:w="1728"/>
          </w:tcPr>
          <w:p>
            <w:r>
              <w:rPr>
                <w:rFonts w:ascii="Calibri" w:hAnsi="Calibri"/>
                <w:sz w:val="22"/>
              </w:rPr>
              <w:t>$16.10–$16.20</w:t>
            </w:r>
          </w:p>
        </w:tc>
        <w:tc>
          <w:tcPr>
            <w:tcW w:type="dxa" w:w="1728"/>
          </w:tcPr>
          <w:p>
            <w:r>
              <w:rPr>
                <w:rFonts w:ascii="Calibri" w:hAnsi="Calibri"/>
                <w:sz w:val="22"/>
              </w:rPr>
              <w:t>$16.45–$16.55</w:t>
            </w:r>
          </w:p>
        </w:tc>
        <w:tc>
          <w:tcPr>
            <w:tcW w:type="dxa" w:w="1728"/>
          </w:tcPr>
          <w:p>
            <w:r>
              <w:rPr>
                <w:rFonts w:ascii="Calibri" w:hAnsi="Calibri"/>
                <w:sz w:val="22"/>
              </w:rPr>
              <w:t>$16.77</w:t>
            </w:r>
          </w:p>
        </w:tc>
        <w:tc>
          <w:tcPr>
            <w:tcW w:type="dxa" w:w="1728"/>
          </w:tcPr>
          <w:p>
            <w:r>
              <w:rPr>
                <w:rFonts w:ascii="Calibri" w:hAnsi="Calibri"/>
                <w:sz w:val="22"/>
              </w:rPr>
              <w:t>↑ Raised Apr 29, 2026; driven by Aerospace, Marine, and Technologies outperformance; consensus now $0.27 above guidance midpoint</w:t>
            </w:r>
          </w:p>
        </w:tc>
      </w:tr>
      <w:tr>
        <w:tc>
          <w:tcPr>
            <w:tcW w:type="dxa" w:w="1728"/>
          </w:tcPr>
          <w:p>
            <w:r>
              <w:rPr>
                <w:rFonts w:ascii="Calibri" w:hAnsi="Calibri"/>
                <w:sz w:val="22"/>
              </w:rPr>
              <w:t>FY2026 Free Cash Flow Conversion</w:t>
            </w:r>
          </w:p>
        </w:tc>
        <w:tc>
          <w:tcPr>
            <w:tcW w:type="dxa" w:w="1728"/>
          </w:tcPr>
          <w:p>
            <w:r>
              <w:rPr>
                <w:rFonts w:ascii="Calibri" w:hAnsi="Calibri"/>
                <w:sz w:val="22"/>
              </w:rPr>
              <w:t>~100% of net income</w:t>
            </w:r>
          </w:p>
        </w:tc>
        <w:tc>
          <w:tcPr>
            <w:tcW w:type="dxa" w:w="1728"/>
          </w:tcPr>
          <w:p>
            <w:r>
              <w:rPr>
                <w:rFonts w:ascii="Calibri" w:hAnsi="Calibri"/>
                <w:sz w:val="22"/>
              </w:rPr>
              <w:t>100% of net income; evaluating potential to exceed 100%</w:t>
            </w:r>
          </w:p>
        </w:tc>
        <w:tc>
          <w:tcPr>
            <w:tcW w:type="dxa" w:w="1728"/>
          </w:tcPr>
          <w:p>
            <w:r>
              <w:rPr>
                <w:rFonts w:ascii="Calibri" w:hAnsi="Calibri"/>
                <w:sz w:val="22"/>
              </w:rPr>
              <w:t>$4.85B (FY2026 FCF consensus)</w:t>
            </w:r>
          </w:p>
        </w:tc>
        <w:tc>
          <w:tcPr>
            <w:tcW w:type="dxa" w:w="1728"/>
          </w:tcPr>
          <w:p>
            <w:r>
              <w:rPr>
                <w:rFonts w:ascii="Calibri" w:hAnsi="Calibri"/>
                <w:sz w:val="22"/>
              </w:rPr>
              <w:t>↑ Tone more confident; Q1 delivered 174% conversion; management signaled possible upside to 100% target</w:t>
            </w:r>
          </w:p>
        </w:tc>
      </w:tr>
      <w:tr>
        <w:tc>
          <w:tcPr>
            <w:tcW w:type="dxa" w:w="1728"/>
          </w:tcPr>
          <w:p>
            <w:r>
              <w:rPr>
                <w:rFonts w:ascii="Calibri" w:hAnsi="Calibri"/>
                <w:sz w:val="22"/>
              </w:rPr>
              <w:t>FY2026 CapEx (% of Sales)</w:t>
            </w:r>
          </w:p>
        </w:tc>
        <w:tc>
          <w:tcPr>
            <w:tcW w:type="dxa" w:w="1728"/>
          </w:tcPr>
          <w:p>
            <w:r>
              <w:rPr>
                <w:rFonts w:ascii="Calibri" w:hAnsi="Calibri"/>
                <w:sz w:val="22"/>
              </w:rPr>
              <w:t>3.5%–4.0% of sales</w:t>
            </w:r>
          </w:p>
        </w:tc>
        <w:tc>
          <w:tcPr>
            <w:tcW w:type="dxa" w:w="1728"/>
          </w:tcPr>
          <w:p>
            <w:r>
              <w:rPr>
                <w:rFonts w:ascii="Calibri" w:hAnsi="Calibri"/>
                <w:sz w:val="22"/>
              </w:rPr>
              <w:t>3.5%–4.0% of sales (unchanged); profile grows each quarter</w:t>
            </w:r>
          </w:p>
        </w:tc>
        <w:tc>
          <w:tcPr>
            <w:tcW w:type="dxa" w:w="1728"/>
          </w:tcPr>
          <w:p>
            <w:r>
              <w:rPr>
                <w:rFonts w:ascii="Calibri" w:hAnsi="Calibri"/>
                <w:sz w:val="22"/>
              </w:rPr>
              <w:t>N/A — not separately tracked in VA</w:t>
            </w:r>
          </w:p>
        </w:tc>
        <w:tc>
          <w:tcPr>
            <w:tcW w:type="dxa" w:w="1728"/>
          </w:tcPr>
          <w:p>
            <w:r>
              <w:rPr>
                <w:rFonts w:ascii="Calibri" w:hAnsi="Calibri"/>
                <w:sz w:val="22"/>
              </w:rPr>
              <w:t>Unchanged; Q1 CapEx was ~1.5% of sales (front-end light); heavy investment in Electric Boat expected to accelerate</w:t>
            </w:r>
          </w:p>
        </w:tc>
      </w:tr>
      <w:tr>
        <w:tc>
          <w:tcPr>
            <w:tcW w:type="dxa" w:w="1728"/>
          </w:tcPr>
          <w:p>
            <w:r>
              <w:rPr>
                <w:rFonts w:ascii="Calibri" w:hAnsi="Calibri"/>
                <w:sz w:val="22"/>
              </w:rPr>
              <w:t>Aerospace Deliveries (Q2 2026)</w:t>
            </w:r>
          </w:p>
        </w:tc>
        <w:tc>
          <w:tcPr>
            <w:tcW w:type="dxa" w:w="1728"/>
          </w:tcPr>
          <w:p>
            <w:r>
              <w:rPr>
                <w:rFonts w:ascii="Calibri" w:hAnsi="Calibri"/>
                <w:sz w:val="22"/>
              </w:rPr>
              <w:t>Not explicitly guided</w:t>
            </w:r>
          </w:p>
        </w:tc>
        <w:tc>
          <w:tcPr>
            <w:tcW w:type="dxa" w:w="1728"/>
          </w:tcPr>
          <w:p>
            <w:r>
              <w:rPr>
                <w:rFonts w:ascii="Calibri" w:hAnsi="Calibri"/>
                <w:sz w:val="22"/>
              </w:rPr>
              <w:t>“Very similar to Q1” (~38 aircraft); Q3/Q4 highest</w:t>
            </w:r>
          </w:p>
        </w:tc>
        <w:tc>
          <w:tcPr>
            <w:tcW w:type="dxa" w:w="1728"/>
          </w:tcPr>
          <w:p>
            <w:r>
              <w:rPr>
                <w:rFonts w:ascii="Calibri" w:hAnsi="Calibri"/>
                <w:sz w:val="22"/>
              </w:rPr>
              <w:t>~42 aircraft (Zacks consensus)</w:t>
            </w:r>
          </w:p>
        </w:tc>
        <w:tc>
          <w:tcPr>
            <w:tcW w:type="dxa" w:w="1728"/>
          </w:tcPr>
          <w:p>
            <w:r>
              <w:rPr>
                <w:rFonts w:ascii="Calibri" w:hAnsi="Calibri"/>
                <w:sz w:val="22"/>
              </w:rPr>
              <w:t>Delivery cadence on plan; G800 gross margins already exceeding G650 despite early ramp</w:t>
            </w:r>
          </w:p>
        </w:tc>
      </w:tr>
      <w:tr>
        <w:tc>
          <w:tcPr>
            <w:tcW w:type="dxa" w:w="1728"/>
          </w:tcPr>
          <w:p>
            <w:r>
              <w:rPr>
                <w:rFonts w:ascii="Calibri" w:hAnsi="Calibri"/>
                <w:sz w:val="22"/>
              </w:rPr>
              <w:t>Aerospace Operating Margin</w:t>
            </w:r>
          </w:p>
        </w:tc>
        <w:tc>
          <w:tcPr>
            <w:tcW w:type="dxa" w:w="1728"/>
          </w:tcPr>
          <w:p>
            <w:r>
              <w:rPr>
                <w:rFonts w:ascii="Calibri" w:hAnsi="Calibri"/>
                <w:sz w:val="22"/>
              </w:rPr>
              <w:t>Mid-to-high teens by 2027</w:t>
            </w:r>
          </w:p>
        </w:tc>
        <w:tc>
          <w:tcPr>
            <w:tcW w:type="dxa" w:w="1728"/>
          </w:tcPr>
          <w:p>
            <w:r>
              <w:rPr>
                <w:rFonts w:ascii="Calibri" w:hAnsi="Calibri"/>
                <w:sz w:val="22"/>
              </w:rPr>
              <w:t>15% achieved in Q1; “durable”; some Q2/Q3 mix movement expected; strong Q4</w:t>
            </w:r>
          </w:p>
        </w:tc>
        <w:tc>
          <w:tcPr>
            <w:tcW w:type="dxa" w:w="1728"/>
          </w:tcPr>
          <w:p>
            <w:r>
              <w:rPr>
                <w:rFonts w:ascii="Calibri" w:hAnsi="Calibri"/>
                <w:sz w:val="22"/>
              </w:rPr>
              <w:t>~13.8% Q2 consensus (implied)</w:t>
            </w:r>
          </w:p>
        </w:tc>
        <w:tc>
          <w:tcPr>
            <w:tcW w:type="dxa" w:w="1728"/>
          </w:tcPr>
          <w:p>
            <w:r>
              <w:rPr>
                <w:rFonts w:ascii="Calibri" w:hAnsi="Calibri"/>
                <w:sz w:val="22"/>
              </w:rPr>
              <w:t>↑ Tone more confident; mid-teens ahead of plan; G800 outperforming G650 at same stage</w:t>
            </w:r>
          </w:p>
        </w:tc>
      </w:tr>
      <w:tr>
        <w:tc>
          <w:tcPr>
            <w:tcW w:type="dxa" w:w="1728"/>
          </w:tcPr>
          <w:p>
            <w:r>
              <w:rPr>
                <w:rFonts w:ascii="Calibri" w:hAnsi="Calibri"/>
                <w:sz w:val="22"/>
              </w:rPr>
              <w:t>Marine Systems Throughput</w:t>
            </w:r>
          </w:p>
        </w:tc>
        <w:tc>
          <w:tcPr>
            <w:tcW w:type="dxa" w:w="1728"/>
          </w:tcPr>
          <w:p>
            <w:r>
              <w:rPr>
                <w:rFonts w:ascii="Calibri" w:hAnsi="Calibri"/>
                <w:sz w:val="22"/>
              </w:rPr>
              <w:t>Improving; Columbia on track for 2028 delivery</w:t>
            </w:r>
          </w:p>
        </w:tc>
        <w:tc>
          <w:tcPr>
            <w:tcW w:type="dxa" w:w="1728"/>
          </w:tcPr>
          <w:p>
            <w:r>
              <w:rPr>
                <w:rFonts w:ascii="Calibri" w:hAnsi="Calibri"/>
                <w:sz w:val="22"/>
              </w:rPr>
              <w:t>21% revenue growth in Q1; 52% increase in sequence-critical material receipts vs. prior year; Columbia key milestone by end of 2026</w:t>
            </w:r>
          </w:p>
        </w:tc>
        <w:tc>
          <w:tcPr>
            <w:tcW w:type="dxa" w:w="1728"/>
          </w:tcPr>
          <w:p>
            <w:r>
              <w:rPr>
                <w:rFonts w:ascii="Calibri" w:hAnsi="Calibri"/>
                <w:sz w:val="22"/>
              </w:rPr>
              <w:t>Marine revenue $4.37B Q2 consensus</w:t>
            </w:r>
          </w:p>
        </w:tc>
        <w:tc>
          <w:tcPr>
            <w:tcW w:type="dxa" w:w="1728"/>
          </w:tcPr>
          <w:p>
            <w:r>
              <w:rPr>
                <w:rFonts w:ascii="Calibri" w:hAnsi="Calibri"/>
                <w:sz w:val="22"/>
              </w:rPr>
              <w:t>↑ Tone markedly more optimistic; supply chain improving; sole-source bottlenecks remain the key risk</w:t>
            </w:r>
          </w:p>
        </w:tc>
      </w:tr>
      <w:tr>
        <w:tc>
          <w:tcPr>
            <w:tcW w:type="dxa" w:w="1728"/>
          </w:tcPr>
          <w:p>
            <w:r>
              <w:rPr>
                <w:rFonts w:ascii="Calibri" w:hAnsi="Calibri"/>
                <w:sz w:val="22"/>
              </w:rPr>
              <w:t>FY2026 Tax Rate</w:t>
            </w:r>
          </w:p>
        </w:tc>
        <w:tc>
          <w:tcPr>
            <w:tcW w:type="dxa" w:w="1728"/>
          </w:tcPr>
          <w:p>
            <w:r>
              <w:rPr>
                <w:rFonts w:ascii="Calibri" w:hAnsi="Calibri"/>
                <w:sz w:val="22"/>
              </w:rPr>
              <w:t>~17.5%</w:t>
            </w:r>
          </w:p>
        </w:tc>
        <w:tc>
          <w:tcPr>
            <w:tcW w:type="dxa" w:w="1728"/>
          </w:tcPr>
          <w:p>
            <w:r>
              <w:rPr>
                <w:rFonts w:ascii="Calibri" w:hAnsi="Calibri"/>
                <w:sz w:val="22"/>
              </w:rPr>
              <w:t>17.5% (unchanged); Q1 actual 17.8%</w:t>
            </w:r>
          </w:p>
        </w:tc>
        <w:tc>
          <w:tcPr>
            <w:tcW w:type="dxa" w:w="1728"/>
          </w:tcPr>
          <w:p>
            <w:r>
              <w:rPr>
                <w:rFonts w:ascii="Calibri" w:hAnsi="Calibri"/>
                <w:sz w:val="22"/>
              </w:rPr>
              <w:t>~17.5%</w:t>
            </w:r>
          </w:p>
        </w:tc>
        <w:tc>
          <w:tcPr>
            <w:tcW w:type="dxa" w:w="1728"/>
          </w:tcPr>
          <w:p>
            <w:r>
              <w:rPr>
                <w:rFonts w:ascii="Calibri" w:hAnsi="Calibri"/>
                <w:sz w:val="22"/>
              </w:rPr>
              <w:t>Unchanged; consistent with guidance</w:t>
            </w:r>
          </w:p>
        </w:tc>
      </w:tr>
      <w:tr>
        <w:tc>
          <w:tcPr>
            <w:tcW w:type="dxa" w:w="1728"/>
          </w:tcPr>
          <w:p>
            <w:r>
              <w:rPr>
                <w:rFonts w:ascii="Calibri" w:hAnsi="Calibri"/>
                <w:sz w:val="22"/>
              </w:rPr>
              <w:t>Share Repurchases</w:t>
            </w:r>
          </w:p>
        </w:tc>
        <w:tc>
          <w:tcPr>
            <w:tcW w:type="dxa" w:w="1728"/>
          </w:tcPr>
          <w:p>
            <w:r>
              <w:rPr>
                <w:rFonts w:ascii="Calibri" w:hAnsi="Calibri"/>
                <w:sz w:val="22"/>
              </w:rPr>
              <w:t>Dilution coverage only; dividend primary return vehicle</w:t>
            </w:r>
          </w:p>
        </w:tc>
        <w:tc>
          <w:tcPr>
            <w:tcW w:type="dxa" w:w="1728"/>
          </w:tcPr>
          <w:p>
            <w:r>
              <w:rPr>
                <w:rFonts w:ascii="Calibri" w:hAnsi="Calibri"/>
                <w:sz w:val="22"/>
              </w:rPr>
              <w:t>~$200M in Q1 (dilution coverage only); 29 consecutive years of dividend increases</w:t>
            </w:r>
          </w:p>
        </w:tc>
        <w:tc>
          <w:tcPr>
            <w:tcW w:type="dxa" w:w="1728"/>
          </w:tcPr>
          <w:p>
            <w:r>
              <w:rPr>
                <w:rFonts w:ascii="Calibri" w:hAnsi="Calibri"/>
                <w:sz w:val="22"/>
              </w:rPr>
              <w:t>N/A</w:t>
            </w:r>
          </w:p>
        </w:tc>
        <w:tc>
          <w:tcPr>
            <w:tcW w:type="dxa" w:w="1728"/>
          </w:tcPr>
          <w:p>
            <w:r>
              <w:rPr>
                <w:rFonts w:ascii="Calibri" w:hAnsi="Calibri"/>
                <w:sz w:val="22"/>
              </w:rPr>
              <w:t>Deliberately cautious given political sensitivity around buybacks in current administration environment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across all key metrics, tracking management’s raised guidance rather than diverging from it — the gap between consensus and guidance midpoint is a modest cushion, not a stretched bar, suggesting limited downside risk from estimate resets.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6, 2026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$13.48B</w:t>
            </w:r>
          </w:p>
        </w:tc>
        <w:tc>
          <w:tcPr>
            <w:tcW w:type="dxa" w:w="1080"/>
          </w:tcPr>
          <w:p>
            <w:r>
              <w:rPr>
                <w:rFonts w:ascii="Calibri" w:hAnsi="Calibri"/>
                <w:sz w:val="22"/>
              </w:rPr>
              <w:t>$13.55B</w:t>
            </w:r>
          </w:p>
        </w:tc>
        <w:tc>
          <w:tcPr>
            <w:tcW w:type="dxa" w:w="1080"/>
          </w:tcPr>
          <w:p>
            <w:r>
              <w:rPr>
                <w:rFonts w:ascii="Calibri" w:hAnsi="Calibri"/>
                <w:sz w:val="22"/>
              </w:rPr>
              <w:t>+0.5%</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Q2 2026</w:t>
            </w:r>
          </w:p>
        </w:tc>
        <w:tc>
          <w:tcPr>
            <w:tcW w:type="dxa" w:w="1080"/>
          </w:tcPr>
          <w:p>
            <w:r>
              <w:rPr>
                <w:rFonts w:ascii="Calibri" w:hAnsi="Calibri"/>
                <w:sz w:val="22"/>
              </w:rPr>
              <w:t>$3.93</w:t>
            </w:r>
          </w:p>
        </w:tc>
        <w:tc>
          <w:tcPr>
            <w:tcW w:type="dxa" w:w="1080"/>
          </w:tcPr>
          <w:p>
            <w:r>
              <w:rPr>
                <w:rFonts w:ascii="Calibri" w:hAnsi="Calibri"/>
                <w:sz w:val="22"/>
              </w:rPr>
              <w:t>$3.98</w:t>
            </w:r>
          </w:p>
        </w:tc>
        <w:tc>
          <w:tcPr>
            <w:tcW w:type="dxa" w:w="1080"/>
          </w:tcPr>
          <w:p>
            <w:r>
              <w:rPr>
                <w:rFonts w:ascii="Calibri" w:hAnsi="Calibri"/>
                <w:sz w:val="22"/>
              </w:rPr>
              <w:t>+1.3%</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$55.39B</w:t>
            </w:r>
          </w:p>
        </w:tc>
        <w:tc>
          <w:tcPr>
            <w:tcW w:type="dxa" w:w="1080"/>
          </w:tcPr>
          <w:p>
            <w:r>
              <w:rPr>
                <w:rFonts w:ascii="Calibri" w:hAnsi="Calibri"/>
                <w:sz w:val="22"/>
              </w:rPr>
              <w:t>$55.48B</w:t>
            </w:r>
          </w:p>
        </w:tc>
        <w:tc>
          <w:tcPr>
            <w:tcW w:type="dxa" w:w="1080"/>
          </w:tcPr>
          <w:p>
            <w:r>
              <w:rPr>
                <w:rFonts w:ascii="Calibri" w:hAnsi="Calibri"/>
                <w:sz w:val="22"/>
              </w:rPr>
              <w:t>+0.2%</w:t>
            </w:r>
          </w:p>
        </w:tc>
        <w:tc>
          <w:tcPr>
            <w:tcW w:type="dxa" w:w="1080"/>
          </w:tcPr>
          <w:p>
            <w:r>
              <w:rPr>
                <w:rFonts w:ascii="Calibri" w:hAnsi="Calibri"/>
                <w:sz w:val="22"/>
              </w:rPr>
              <w:t>No explicit FY rev. guidance</w:t>
            </w:r>
          </w:p>
        </w:tc>
        <w:tc>
          <w:tcPr>
            <w:tcW w:type="dxa" w:w="1080"/>
          </w:tcPr>
          <w:p>
            <w:r>
              <w:rPr>
                <w:rFonts w:ascii="Calibri" w:hAnsi="Calibri"/>
                <w:sz w:val="22"/>
              </w:rPr>
              <w:t>No explicit FY rev.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$16.71</w:t>
            </w:r>
          </w:p>
        </w:tc>
        <w:tc>
          <w:tcPr>
            <w:tcW w:type="dxa" w:w="1080"/>
          </w:tcPr>
          <w:p>
            <w:r>
              <w:rPr>
                <w:rFonts w:ascii="Calibri" w:hAnsi="Calibri"/>
                <w:sz w:val="22"/>
              </w:rPr>
              <w:t>$16.77</w:t>
            </w:r>
          </w:p>
        </w:tc>
        <w:tc>
          <w:tcPr>
            <w:tcW w:type="dxa" w:w="1080"/>
          </w:tcPr>
          <w:p>
            <w:r>
              <w:rPr>
                <w:rFonts w:ascii="Calibri" w:hAnsi="Calibri"/>
                <w:sz w:val="22"/>
              </w:rPr>
              <w:t>+0.4%</w:t>
            </w:r>
          </w:p>
        </w:tc>
        <w:tc>
          <w:tcPr>
            <w:tcW w:type="dxa" w:w="1080"/>
          </w:tcPr>
          <w:p>
            <w:r>
              <w:rPr>
                <w:rFonts w:ascii="Calibri" w:hAnsi="Calibri"/>
                <w:sz w:val="22"/>
              </w:rPr>
              <w:t>$16.10–$16.20 (midpoint $16.15)</w:t>
            </w:r>
          </w:p>
        </w:tc>
        <w:tc>
          <w:tcPr>
            <w:tcW w:type="dxa" w:w="1080"/>
          </w:tcPr>
          <w:p>
            <w:r>
              <w:rPr>
                <w:rFonts w:ascii="Calibri" w:hAnsi="Calibri"/>
                <w:sz w:val="22"/>
              </w:rPr>
              <w:t>$16.45–$16.55 (midpoint $16.50)</w:t>
            </w:r>
          </w:p>
        </w:tc>
        <w:tc>
          <w:tcPr>
            <w:tcW w:type="dxa" w:w="1080"/>
          </w:tcPr>
          <w:p>
            <w:r>
              <w:rPr>
                <w:rFonts w:ascii="Calibri" w:hAnsi="Calibri"/>
                <w:sz w:val="22"/>
              </w:rPr>
              <w:t>+$0.35 (+2.2%)</w:t>
            </w:r>
          </w:p>
        </w:tc>
        <w:tc>
          <w:tcPr>
            <w:tcW w:type="dxa" w:w="1080"/>
          </w:tcPr>
          <w:p>
            <w:r>
              <w:rPr>
                <w:rFonts w:ascii="Calibri" w:hAnsi="Calibri"/>
                <w:sz w:val="22"/>
              </w:rPr>
              <w:t>+1.6% above guidance midpoint</w:t>
            </w:r>
          </w:p>
        </w:tc>
      </w:tr>
      <w:tr>
        <w:tc>
          <w:tcPr>
            <w:tcW w:type="dxa" w:w="1080"/>
          </w:tcPr>
          <w:p>
            <w:r>
              <w:rPr>
                <w:rFonts w:ascii="Calibri" w:hAnsi="Calibri"/>
                <w:sz w:val="22"/>
              </w:rPr>
              <w:t>Op. EPS — FY2027</w:t>
            </w:r>
          </w:p>
        </w:tc>
        <w:tc>
          <w:tcPr>
            <w:tcW w:type="dxa" w:w="1080"/>
          </w:tcPr>
          <w:p>
            <w:r>
              <w:rPr>
                <w:rFonts w:ascii="Calibri" w:hAnsi="Calibri"/>
                <w:sz w:val="22"/>
              </w:rPr>
              <w:t>$18.15</w:t>
            </w:r>
          </w:p>
        </w:tc>
        <w:tc>
          <w:tcPr>
            <w:tcW w:type="dxa" w:w="1080"/>
          </w:tcPr>
          <w:p>
            <w:r>
              <w:rPr>
                <w:rFonts w:ascii="Calibri" w:hAnsi="Calibri"/>
                <w:sz w:val="22"/>
              </w:rPr>
              <w:t>$18.29</w:t>
            </w:r>
          </w:p>
        </w:tc>
        <w:tc>
          <w:tcPr>
            <w:tcW w:type="dxa" w:w="1080"/>
          </w:tcPr>
          <w:p>
            <w:r>
              <w:rPr>
                <w:rFonts w:ascii="Calibri" w:hAnsi="Calibri"/>
                <w:sz w:val="22"/>
              </w:rPr>
              <w:t>+0.8%</w:t>
            </w:r>
          </w:p>
        </w:tc>
        <w:tc>
          <w:tcPr>
            <w:tcW w:type="dxa" w:w="1080"/>
          </w:tcPr>
          <w:p>
            <w:r>
              <w:rPr>
                <w:rFonts w:ascii="Calibri" w:hAnsi="Calibri"/>
                <w:sz w:val="22"/>
              </w:rPr>
              <w:t>No FY2027 guidance provided</w:t>
            </w:r>
          </w:p>
        </w:tc>
        <w:tc>
          <w:tcPr>
            <w:tcW w:type="dxa" w:w="1080"/>
          </w:tcPr>
          <w:p>
            <w:r>
              <w:rPr>
                <w:rFonts w:ascii="Calibri" w:hAnsi="Calibri"/>
                <w:sz w:val="22"/>
              </w:rPr>
              <w:t>No FY2027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Marine Revenue — Q2 2026</w:t>
            </w:r>
          </w:p>
        </w:tc>
        <w:tc>
          <w:tcPr>
            <w:tcW w:type="dxa" w:w="1080"/>
          </w:tcPr>
          <w:p>
            <w:r>
              <w:rPr>
                <w:rFonts w:ascii="Calibri" w:hAnsi="Calibri"/>
                <w:sz w:val="22"/>
              </w:rPr>
              <w:t>$4.35B</w:t>
            </w:r>
          </w:p>
        </w:tc>
        <w:tc>
          <w:tcPr>
            <w:tcW w:type="dxa" w:w="1080"/>
          </w:tcPr>
          <w:p>
            <w:r>
              <w:rPr>
                <w:rFonts w:ascii="Calibri" w:hAnsi="Calibri"/>
                <w:sz w:val="22"/>
              </w:rPr>
              <w:t>$4.37B</w:t>
            </w:r>
          </w:p>
        </w:tc>
        <w:tc>
          <w:tcPr>
            <w:tcW w:type="dxa" w:w="1080"/>
          </w:tcPr>
          <w:p>
            <w:r>
              <w:rPr>
                <w:rFonts w:ascii="Calibri" w:hAnsi="Calibri"/>
                <w:sz w:val="22"/>
              </w:rPr>
              <w:t>+0.5%</w:t>
            </w:r>
          </w:p>
        </w:tc>
        <w:tc>
          <w:tcPr>
            <w:tcW w:type="dxa" w:w="1080"/>
          </w:tcPr>
          <w:p>
            <w:r>
              <w:rPr>
                <w:rFonts w:ascii="Calibri" w:hAnsi="Calibri"/>
                <w:sz w:val="22"/>
              </w:rPr>
              <w:t>No segment guidance</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Aerospace Revenue — Q2 2026</w:t>
            </w:r>
          </w:p>
        </w:tc>
        <w:tc>
          <w:tcPr>
            <w:tcW w:type="dxa" w:w="1080"/>
          </w:tcPr>
          <w:p>
            <w:r>
              <w:rPr>
                <w:rFonts w:ascii="Calibri" w:hAnsi="Calibri"/>
                <w:sz w:val="22"/>
              </w:rPr>
              <w:t>$3.25B</w:t>
            </w:r>
          </w:p>
        </w:tc>
        <w:tc>
          <w:tcPr>
            <w:tcW w:type="dxa" w:w="1080"/>
          </w:tcPr>
          <w:p>
            <w:r>
              <w:rPr>
                <w:rFonts w:ascii="Calibri" w:hAnsi="Calibri"/>
                <w:sz w:val="22"/>
              </w:rPr>
              <w:t>$3.31B</w:t>
            </w:r>
          </w:p>
        </w:tc>
        <w:tc>
          <w:tcPr>
            <w:tcW w:type="dxa" w:w="1080"/>
          </w:tcPr>
          <w:p>
            <w:r>
              <w:rPr>
                <w:rFonts w:ascii="Calibri" w:hAnsi="Calibri"/>
                <w:sz w:val="22"/>
              </w:rPr>
              <w:t>+1.9%</w:t>
            </w:r>
          </w:p>
        </w:tc>
        <w:tc>
          <w:tcPr>
            <w:tcW w:type="dxa" w:w="1080"/>
          </w:tcPr>
          <w:p>
            <w:r>
              <w:rPr>
                <w:rFonts w:ascii="Calibri" w:hAnsi="Calibri"/>
                <w:sz w:val="22"/>
              </w:rPr>
              <w:t>No segment guidance</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 FY2026</w:t>
            </w:r>
          </w:p>
        </w:tc>
        <w:tc>
          <w:tcPr>
            <w:tcW w:type="dxa" w:w="1080"/>
          </w:tcPr>
          <w:p>
            <w:r>
              <w:rPr>
                <w:rFonts w:ascii="Calibri" w:hAnsi="Calibri"/>
                <w:sz w:val="22"/>
              </w:rPr>
              <w:t>$4.79B</w:t>
            </w:r>
          </w:p>
        </w:tc>
        <w:tc>
          <w:tcPr>
            <w:tcW w:type="dxa" w:w="1080"/>
          </w:tcPr>
          <w:p>
            <w:r>
              <w:rPr>
                <w:rFonts w:ascii="Calibri" w:hAnsi="Calibri"/>
                <w:sz w:val="22"/>
              </w:rPr>
              <w:t>$4.85B</w:t>
            </w:r>
          </w:p>
        </w:tc>
        <w:tc>
          <w:tcPr>
            <w:tcW w:type="dxa" w:w="1080"/>
          </w:tcPr>
          <w:p>
            <w:r>
              <w:rPr>
                <w:rFonts w:ascii="Calibri" w:hAnsi="Calibri"/>
                <w:sz w:val="22"/>
              </w:rPr>
              <w:t>+1.3%</w:t>
            </w:r>
          </w:p>
        </w:tc>
        <w:tc>
          <w:tcPr>
            <w:tcW w:type="dxa" w:w="1080"/>
          </w:tcPr>
          <w:p>
            <w:r>
              <w:rPr>
                <w:rFonts w:ascii="Calibri" w:hAnsi="Calibri"/>
                <w:sz w:val="22"/>
              </w:rPr>
              <w:t>~100% net income conversion</w:t>
            </w:r>
          </w:p>
        </w:tc>
        <w:tc>
          <w:tcPr>
            <w:tcW w:type="dxa" w:w="1080"/>
          </w:tcPr>
          <w:p>
            <w:r>
              <w:rPr>
                <w:rFonts w:ascii="Calibri" w:hAnsi="Calibri"/>
                <w:sz w:val="22"/>
              </w:rPr>
              <w:t>~100% net income conversion; evaluating upside</w:t>
            </w:r>
          </w:p>
        </w:tc>
        <w:tc>
          <w:tcPr>
            <w:tcW w:type="dxa" w:w="1080"/>
          </w:tcPr>
          <w:p>
            <w:r>
              <w:rPr>
                <w:rFonts w:ascii="Calibri" w:hAnsi="Calibri"/>
                <w:sz w:val="22"/>
              </w:rPr>
              <w:t>Unchanged; tone more confident</w:t>
            </w:r>
          </w:p>
        </w:tc>
        <w:tc>
          <w:tcPr>
            <w:tcW w:type="dxa" w:w="1080"/>
          </w:tcPr>
          <w:p>
            <w:r>
              <w:rPr>
                <w:rFonts w:ascii="Calibri" w:hAnsi="Calibri"/>
                <w:sz w:val="22"/>
              </w:rPr>
              <w:t>N/A</w:t>
            </w:r>
          </w:p>
        </w:tc>
      </w:tr>
    </w:tbl>
    <w:p>
      <w:r>
        <w:rPr>
          <w:rFonts w:ascii="Calibri" w:hAnsi="Calibri"/>
          <w:color w:val="525866"/>
          <w:sz w:val="22"/>
        </w:rPr>
        <w:t>Estimates have moved in lockstep with management’s raised guidance since the Q1 print, with FY2026 EPS consensus now sitting ~1.6% above the guidance midpoint — a modest cushion that reflects Street confidence in continued execution without extrapolating Q1’s exceptional cash conversion. The revision trajectory is constructive but not stretched.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GD has outperformed both the defense sector (ITA) and the S&amp;P 500 since Q1 earnings, with the +16.1% gain driven primarily by the massive Q1 beat and guidance raise — the stock has re-rated on improved earnings quality and Marine throughput credibility, but the move means some beat is already priced in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GD vs. ITA (iShares U.S. Aerospace &amp; Defense ETF) vs. S&amp;P 500 (SPY) — Indexed to 100 at Q1 2026 Earnings Date (April 29,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Name</w:t>
            </w:r>
          </w:p>
        </w:tc>
        <w:tc>
          <w:tcPr>
            <w:tcW w:type="dxa" w:w="2160"/>
            <w:shd w:val="clear" w:color="auto" w:fill="3B4259"/>
          </w:tcPr>
          <w:p>
            <w:r>
              <w:rPr>
                <w:rFonts w:ascii="Calibri" w:hAnsi="Calibri"/>
                <w:b/>
                <w:color w:val="FFFFFF"/>
                <w:sz w:val="22"/>
              </w:rPr>
              <w:t>Price at Q1 Earnings (Apr 29)</w:t>
            </w:r>
          </w:p>
        </w:tc>
        <w:tc>
          <w:tcPr>
            <w:tcW w:type="dxa" w:w="2160"/>
            <w:shd w:val="clear" w:color="auto" w:fill="3B4259"/>
          </w:tcPr>
          <w:p>
            <w:r>
              <w:rPr>
                <w:rFonts w:ascii="Calibri" w:hAnsi="Calibri"/>
                <w:b/>
                <w:color w:val="FFFFFF"/>
                <w:sz w:val="22"/>
              </w:rPr>
              <w:t>Price (Jul 29, 2026)</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GD</w:t>
            </w:r>
          </w:p>
        </w:tc>
        <w:tc>
          <w:tcPr>
            <w:tcW w:type="dxa" w:w="2160"/>
          </w:tcPr>
          <w:p>
            <w:r>
              <w:rPr>
                <w:rFonts w:ascii="Calibri" w:hAnsi="Calibri"/>
                <w:sz w:val="22"/>
              </w:rPr>
              <w:t>$338.73</w:t>
            </w:r>
          </w:p>
        </w:tc>
        <w:tc>
          <w:tcPr>
            <w:tcW w:type="dxa" w:w="2160"/>
          </w:tcPr>
          <w:p>
            <w:r>
              <w:rPr>
                <w:rFonts w:ascii="Calibri" w:hAnsi="Calibri"/>
                <w:sz w:val="22"/>
              </w:rPr>
              <w:t>$393.19</w:t>
            </w:r>
          </w:p>
        </w:tc>
        <w:tc>
          <w:tcPr>
            <w:tcW w:type="dxa" w:w="2160"/>
          </w:tcPr>
          <w:p>
            <w:r>
              <w:rPr>
                <w:rFonts w:ascii="Calibri" w:hAnsi="Calibri"/>
                <w:b/>
                <w:color w:val="30A46C"/>
                <w:sz w:val="22"/>
              </w:rPr>
              <w:t>+16.1%</w:t>
            </w:r>
          </w:p>
        </w:tc>
      </w:tr>
      <w:tr>
        <w:tc>
          <w:tcPr>
            <w:tcW w:type="dxa" w:w="2160"/>
          </w:tcPr>
          <w:p>
            <w:r>
              <w:rPr>
                <w:rFonts w:ascii="Calibri" w:hAnsi="Calibri"/>
                <w:sz w:val="22"/>
              </w:rPr>
              <w:t>ITA (Defense ETF)</w:t>
            </w:r>
          </w:p>
        </w:tc>
        <w:tc>
          <w:tcPr>
            <w:tcW w:type="dxa" w:w="2160"/>
          </w:tcPr>
          <w:p>
            <w:r>
              <w:rPr>
                <w:rFonts w:ascii="Calibri" w:hAnsi="Calibri"/>
                <w:sz w:val="22"/>
              </w:rPr>
              <w:t>$213.14</w:t>
            </w:r>
          </w:p>
        </w:tc>
        <w:tc>
          <w:tcPr>
            <w:tcW w:type="dxa" w:w="2160"/>
          </w:tcPr>
          <w:p>
            <w:r>
              <w:rPr>
                <w:rFonts w:ascii="Calibri" w:hAnsi="Calibri"/>
                <w:sz w:val="22"/>
              </w:rPr>
              <w:t>$244.98</w:t>
            </w:r>
          </w:p>
        </w:tc>
        <w:tc>
          <w:tcPr>
            <w:tcW w:type="dxa" w:w="2160"/>
          </w:tcPr>
          <w:p>
            <w:r>
              <w:rPr>
                <w:rFonts w:ascii="Calibri" w:hAnsi="Calibri"/>
                <w:sz w:val="22"/>
              </w:rPr>
              <w:t>+14.9%</w:t>
            </w:r>
          </w:p>
        </w:tc>
      </w:tr>
      <w:tr>
        <w:tc>
          <w:tcPr>
            <w:tcW w:type="dxa" w:w="2160"/>
          </w:tcPr>
          <w:p>
            <w:r>
              <w:rPr>
                <w:rFonts w:ascii="Calibri" w:hAnsi="Calibri"/>
                <w:sz w:val="22"/>
              </w:rPr>
              <w:t>S&amp;P 500 (SPY)</w:t>
            </w:r>
          </w:p>
        </w:tc>
        <w:tc>
          <w:tcPr>
            <w:tcW w:type="dxa" w:w="2160"/>
          </w:tcPr>
          <w:p>
            <w:r>
              <w:rPr>
                <w:rFonts w:ascii="Calibri" w:hAnsi="Calibri"/>
                <w:sz w:val="22"/>
              </w:rPr>
              <w:t>$711.58</w:t>
            </w:r>
          </w:p>
        </w:tc>
        <w:tc>
          <w:tcPr>
            <w:tcW w:type="dxa" w:w="2160"/>
          </w:tcPr>
          <w:p>
            <w:r>
              <w:rPr>
                <w:rFonts w:ascii="Calibri" w:hAnsi="Calibri"/>
                <w:sz w:val="22"/>
              </w:rPr>
              <w:t>$740.86</w:t>
            </w:r>
          </w:p>
        </w:tc>
        <w:tc>
          <w:tcPr>
            <w:tcW w:type="dxa" w:w="2160"/>
          </w:tcPr>
          <w:p>
            <w:r>
              <w:rPr>
                <w:rFonts w:ascii="Calibri" w:hAnsi="Calibri"/>
                <w:sz w:val="22"/>
              </w:rPr>
              <w:t>+4.1%</w:t>
            </w:r>
          </w:p>
        </w:tc>
      </w:tr>
    </w:tbl>
    <w:p>
      <w:r>
        <w:rPr>
          <w:rFonts w:ascii="Calibri" w:hAnsi="Calibri"/>
          <w:color w:val="525866"/>
          <w:sz w:val="22"/>
        </w:rPr>
        <w:t>GD surged ~7.5% on the Q1 earnings day (April 29) and continued to grind higher through late June, reaching a peak near $390 before pulling back modestly in mid-July. The stock re-accelerated in late July alongside strong peer prints from LMT and RTX. The outperformance vs. ITA (+1.2 percentage points) is modest, suggesting the defense sector broadly re-rated on the strong budget environment, while GD’s specific alpha came from the magnitude of the Q1 beat and the guidance raise. Source: Stock Price Data.</w:t>
      </w:r>
    </w:p>
    <w:p>
      <w:r>
        <w:br w:type="page"/>
      </w:r>
    </w:p>
    <w:p>
      <w:pPr>
        <w:pStyle w:val="Heading2"/>
      </w:pPr>
      <w:r>
        <w:rPr>
          <w:rFonts w:ascii="Calibri" w:hAnsi="Calibri"/>
          <w:b/>
          <w:color w:val="3B4259"/>
          <w:sz w:val="28"/>
        </w:rPr>
        <w:t>6. Peer Commentaries — Read-Through for GD Q2 2026</w:t>
      </w:r>
    </w:p>
    <w:p>
      <w:r>
        <w:rPr>
          <w:rFonts w:ascii="Calibri" w:hAnsi="Calibri"/>
          <w:b/>
          <w:color w:val="525866"/>
          <w:sz w:val="22"/>
        </w:rPr>
        <w:t xml:space="preserve">Key Takeaway: </w:t>
      </w:r>
      <w:r>
        <w:rPr>
          <w:rFonts w:ascii="Calibri" w:hAnsi="Calibri"/>
          <w:color w:val="525866"/>
          <w:sz w:val="22"/>
        </w:rPr>
        <w:t>Peer Q2 2026 prints from LMT, RTX, and NOC all point to an accelerating defense spending environment with record backlogs and strong book-to-bill ratios — a highly constructive read-through for GD’s Marine, Combat Systems, and Technologies segments. Business jet demand commentary from TXT is also supportive for Gulfstream.</w:t>
      </w:r>
    </w:p>
    <w:p>
      <w:r>
        <w:rPr>
          <w:rFonts w:ascii="Calibri" w:hAnsi="Calibri"/>
          <w:i/>
          <w:color w:val="525866"/>
          <w:sz w:val="22"/>
        </w:rPr>
        <w:t>Note: Only forward-looking commentary and Q2 2026 period observations from peer earnings calls are included below. Backward-looking Q1 2025 results commentary from peers has been excluded.</w:t>
      </w:r>
    </w:p>
    <w:p>
      <w:pPr>
        <w:pStyle w:val="Heading3"/>
      </w:pPr>
      <w:r>
        <w:rPr>
          <w:rFonts w:ascii="Calibri" w:hAnsi="Calibri"/>
          <w:b/>
          <w:color w:val="3B4259"/>
          <w:sz w:val="24"/>
        </w:rPr>
        <w:t>Lockheed Martin (LMT) — Q2 2026 Earnings (July 23, 2026)</w:t>
      </w:r>
    </w:p>
    <w:p>
      <w:pPr>
        <w:pStyle w:val="ListBullet"/>
        <w:ind w:left="360" w:hanging="360"/>
      </w:pPr>
      <w:r>
        <w:rPr>
          <w:rFonts w:ascii="Calibri" w:hAnsi="Calibri"/>
          <w:b/>
          <w:color w:val="525866"/>
          <w:sz w:val="22"/>
        </w:rPr>
        <w:t xml:space="preserve">Record $230B backlog (+$64B YoY) and 3.2x book-to-bill in Q2: </w:t>
      </w:r>
      <w:r>
        <w:rPr>
          <w:rFonts w:ascii="Calibri" w:hAnsi="Calibri"/>
          <w:color w:val="525866"/>
          <w:sz w:val="22"/>
        </w:rPr>
        <w:t>LMT’s backlog surge — driven by a $35B THAAD multiyear and new radar awards — is a direct read-through for GD’s Combat Systems and Technologies segments, confirming that the DoD is committing to long-duration, high-value defense contracts at an accelerating pace.</w:t>
      </w:r>
    </w:p>
    <w:p>
      <w:pPr>
        <w:pStyle w:val="ListBullet"/>
        <w:ind w:left="360" w:hanging="360"/>
      </w:pPr>
      <w:r>
        <w:rPr>
          <w:rFonts w:ascii="Calibri" w:hAnsi="Calibri"/>
          <w:b/>
          <w:color w:val="525866"/>
          <w:sz w:val="22"/>
        </w:rPr>
        <w:t xml:space="preserve">Raising FY2026 guidance across all metrics: </w:t>
      </w:r>
      <w:r>
        <w:rPr>
          <w:rFonts w:ascii="Calibri" w:hAnsi="Calibri"/>
          <w:color w:val="525866"/>
          <w:sz w:val="22"/>
        </w:rPr>
        <w:t>LMT raised FY2026 sales guidance to $79.75B–$81.75B (8% YoY at midpoint, up from 5%), EPS to $29.95–$30.65, and FCF to $7.0B–$7.2B. The broad-based raise signals that the defense spending environment is stronger than expected — a positive read-through for GD’s own guidance trajectory.</w:t>
      </w:r>
    </w:p>
    <w:p>
      <w:pPr>
        <w:pStyle w:val="ListBullet"/>
        <w:ind w:left="360" w:hanging="360"/>
      </w:pPr>
      <w:r>
        <w:rPr>
          <w:rFonts w:ascii="Calibri" w:hAnsi="Calibri"/>
          <w:b/>
          <w:color w:val="525866"/>
          <w:sz w:val="22"/>
        </w:rPr>
        <w:t xml:space="preserve">Munitions scaling at unprecedented pace: </w:t>
      </w:r>
      <w:r>
        <w:rPr>
          <w:rFonts w:ascii="Calibri" w:hAnsi="Calibri"/>
          <w:color w:val="525866"/>
          <w:sz w:val="22"/>
        </w:rPr>
        <w:t>LMT is being asked to triple PAC-3 MSE production and quadruple THAAD production. This validates GD’s Combat Systems munitions growth thesis (Ordnance &amp; Tactical Systems) and the Mesquite artillery facility ramp, which is expected to begin production in 2027.</w:t>
      </w:r>
    </w:p>
    <w:p>
      <w:pPr>
        <w:pStyle w:val="ListBullet"/>
        <w:ind w:left="360" w:hanging="360"/>
      </w:pPr>
      <w:r>
        <w:rPr>
          <w:rFonts w:ascii="Calibri" w:hAnsi="Calibri"/>
          <w:b/>
          <w:color w:val="525866"/>
          <w:sz w:val="22"/>
        </w:rPr>
        <w:t xml:space="preserve">FY2027 budget request crossing $1 trillion (25% increase YoY): </w:t>
      </w:r>
      <w:r>
        <w:rPr>
          <w:rFonts w:ascii="Calibri" w:hAnsi="Calibri"/>
          <w:color w:val="525866"/>
          <w:sz w:val="22"/>
        </w:rPr>
        <w:t>LMT confirmed bipartisan support for a ~$1.1T base defense budget in FY2027. This is the most important macro read-through for GD’s multi-year backlog conversion and supports management’s confidence in the Combat Systems European order ramp and Marine Systems submarine program funding.</w:t>
      </w:r>
    </w:p>
    <w:p>
      <w:pPr>
        <w:pStyle w:val="ListBullet"/>
        <w:ind w:left="360" w:hanging="360"/>
      </w:pPr>
      <w:r>
        <w:rPr>
          <w:rFonts w:ascii="Calibri" w:hAnsi="Calibri"/>
          <w:b/>
          <w:color w:val="525866"/>
          <w:sz w:val="22"/>
        </w:rPr>
        <w:t xml:space="preserve">Framework agreements enabling commercial-style long-term contracts: </w:t>
      </w:r>
      <w:r>
        <w:rPr>
          <w:rFonts w:ascii="Calibri" w:hAnsi="Calibri"/>
          <w:color w:val="525866"/>
          <w:sz w:val="22"/>
        </w:rPr>
        <w:t>LMT highlighted the DoD’s shift toward multi-year, fixed-price framework agreements as a structural change that incentivizes industrial base investment. GD’s Electric Boat CapEx program and Combat Systems European expansion are similarly predicated on long-duration contract visibility.</w:t>
      </w:r>
    </w:p>
    <w:p>
      <w:pPr>
        <w:pStyle w:val="Heading3"/>
      </w:pPr>
      <w:r>
        <w:rPr>
          <w:rFonts w:ascii="Calibri" w:hAnsi="Calibri"/>
          <w:b/>
          <w:color w:val="3B4259"/>
          <w:sz w:val="24"/>
        </w:rPr>
        <w:t>RTX (Raytheon Technologies) — Q2 2026 Earnings (July 23, 2026)</w:t>
      </w:r>
    </w:p>
    <w:p>
      <w:pPr>
        <w:pStyle w:val="ListBullet"/>
        <w:ind w:left="360" w:hanging="360"/>
      </w:pPr>
      <w:r>
        <w:rPr>
          <w:rFonts w:ascii="Calibri" w:hAnsi="Calibri"/>
          <w:b/>
          <w:color w:val="525866"/>
          <w:sz w:val="22"/>
        </w:rPr>
        <w:t xml:space="preserve">Record $289B backlog (+22% YoY) and Raytheon book-to-bill of 2.4x in Q2: </w:t>
      </w:r>
      <w:r>
        <w:rPr>
          <w:rFonts w:ascii="Calibri" w:hAnsi="Calibri"/>
          <w:color w:val="525866"/>
          <w:sz w:val="22"/>
        </w:rPr>
        <w:t>RTX’s Raytheon segment booked nearly $20B in Q2 awards, including $5B+ of Patriot effectors from international customers. The international demand surge — with 48% of Raytheon’s backlog now international — is a direct read-through for GD’s Combat Systems European Land Systems business, where trailing 12-month book-to-bill exceeds 2x.</w:t>
      </w:r>
    </w:p>
    <w:p>
      <w:pPr>
        <w:pStyle w:val="ListBullet"/>
        <w:ind w:left="360" w:hanging="360"/>
      </w:pPr>
      <w:r>
        <w:rPr>
          <w:rFonts w:ascii="Calibri" w:hAnsi="Calibri"/>
          <w:b/>
          <w:color w:val="525866"/>
          <w:sz w:val="22"/>
        </w:rPr>
        <w:t xml:space="preserve">Airframers reporting strong demand; business jet OE growth anticipated in H2: </w:t>
      </w:r>
      <w:r>
        <w:rPr>
          <w:rFonts w:ascii="Calibri" w:hAnsi="Calibri"/>
          <w:color w:val="525866"/>
          <w:sz w:val="22"/>
        </w:rPr>
        <w:t>RTX’s Collins Aerospace noted that airframers continue to report strong demand with further growth anticipated in H2 2026 across narrowbody, widebody, and business jet platforms. This is a constructive read-through for Gulfstream’s order pipeline and delivery ramp.</w:t>
      </w:r>
    </w:p>
    <w:p>
      <w:pPr>
        <w:pStyle w:val="ListBullet"/>
        <w:ind w:left="360" w:hanging="360"/>
      </w:pPr>
      <w:r>
        <w:rPr>
          <w:rFonts w:ascii="Calibri" w:hAnsi="Calibri"/>
          <w:b/>
          <w:color w:val="525866"/>
          <w:sz w:val="22"/>
        </w:rPr>
        <w:t xml:space="preserve">Raytheon achieving 12.6% margins with 18% organic sales growth: </w:t>
      </w:r>
      <w:r>
        <w:rPr>
          <w:rFonts w:ascii="Calibri" w:hAnsi="Calibri"/>
          <w:color w:val="525866"/>
          <w:sz w:val="22"/>
        </w:rPr>
        <w:t>Favorable mix from mature programs and international demand drove margin expansion. The margin expansion story at Raytheon mirrors GD’s own narrative at Marine Systems (improved throughput driving earnings leverage) and Aerospace (G800 gross margins exceeding G650).</w:t>
      </w:r>
    </w:p>
    <w:p>
      <w:pPr>
        <w:pStyle w:val="ListBullet"/>
        <w:ind w:left="360" w:hanging="360"/>
      </w:pPr>
      <w:r>
        <w:rPr>
          <w:rFonts w:ascii="Calibri" w:hAnsi="Calibri"/>
          <w:b/>
          <w:color w:val="525866"/>
          <w:sz w:val="22"/>
        </w:rPr>
        <w:t xml:space="preserve">Supply chain: material receipts increasing QoQ for over two years; sole-source positions remain the key constraint: </w:t>
      </w:r>
      <w:r>
        <w:rPr>
          <w:rFonts w:ascii="Calibri" w:hAnsi="Calibri"/>
          <w:color w:val="525866"/>
          <w:sz w:val="22"/>
        </w:rPr>
        <w:t>RTX’s supply chain commentary directly mirrors GD management’s Q1 language — broad improvement but sole-source bottlenecks persist. This suggests GD’s Marine Systems supply chain narrative is consistent with industry-wide dynamics and not a GD-specific issue.</w:t>
      </w:r>
    </w:p>
    <w:p>
      <w:pPr>
        <w:pStyle w:val="ListBullet"/>
        <w:ind w:left="360" w:hanging="360"/>
      </w:pPr>
      <w:r>
        <w:rPr>
          <w:rFonts w:ascii="Calibri" w:hAnsi="Calibri"/>
          <w:b/>
          <w:color w:val="525866"/>
          <w:sz w:val="22"/>
        </w:rPr>
        <w:t xml:space="preserve">NATO allies pledging 3.5% of GDP to defense; international FMS approvals accelerating: </w:t>
      </w:r>
      <w:r>
        <w:rPr>
          <w:rFonts w:ascii="Calibri" w:hAnsi="Calibri"/>
          <w:color w:val="525866"/>
          <w:sz w:val="22"/>
        </w:rPr>
        <w:t>RTX booked over $10B of international awards in H1 2026, more than double YoY, including $7B+ from European customers. This validates GD’s Combat Systems European order thesis and suggests the conversion from orders to revenue will be sustained.</w:t>
      </w:r>
    </w:p>
    <w:p>
      <w:pPr>
        <w:pStyle w:val="Heading3"/>
      </w:pPr>
      <w:r>
        <w:rPr>
          <w:rFonts w:ascii="Calibri" w:hAnsi="Calibri"/>
          <w:b/>
          <w:color w:val="3B4259"/>
          <w:sz w:val="24"/>
        </w:rPr>
        <w:t>Northrop Grumman (NOC) — Q2 2026 Earnings (July 21, 2026)</w:t>
      </w:r>
    </w:p>
    <w:p>
      <w:pPr>
        <w:pStyle w:val="ListBullet"/>
        <w:ind w:left="360" w:hanging="360"/>
      </w:pPr>
      <w:r>
        <w:rPr>
          <w:rFonts w:ascii="Calibri" w:hAnsi="Calibri"/>
          <w:b/>
          <w:color w:val="525866"/>
          <w:sz w:val="22"/>
        </w:rPr>
        <w:t xml:space="preserve">Record $105B backlog (+17% YoY) and book-to-bill of 1.84x; raising FY2026 book-to-bill guidance to ≥1.25x: </w:t>
      </w:r>
      <w:r>
        <w:rPr>
          <w:rFonts w:ascii="Calibri" w:hAnsi="Calibri"/>
          <w:color w:val="525866"/>
          <w:sz w:val="22"/>
        </w:rPr>
        <w:t>NOC’s record backlog and strong order momentum confirm that the defense order environment remains robust across all major platforms — a positive read-through for GD’s own backlog sustainability.</w:t>
      </w:r>
    </w:p>
    <w:p>
      <w:pPr>
        <w:pStyle w:val="ListBullet"/>
        <w:ind w:left="360" w:hanging="360"/>
      </w:pPr>
      <w:r>
        <w:rPr>
          <w:rFonts w:ascii="Calibri" w:hAnsi="Calibri"/>
          <w:b/>
          <w:color w:val="525866"/>
          <w:sz w:val="22"/>
        </w:rPr>
        <w:t xml:space="preserve">FY2027 budget: House and Senate Armed Services Committees both supporting $1.1T base budget (+~10% from FY2026): </w:t>
      </w:r>
      <w:r>
        <w:rPr>
          <w:rFonts w:ascii="Calibri" w:hAnsi="Calibri"/>
          <w:color w:val="525866"/>
          <w:sz w:val="22"/>
        </w:rPr>
        <w:t>NOC confirmed bipartisan support for a significant FY2027 defense budget increase, with the administration also submitting a $67B supplemental request and a $350B reconciliation package. This is the strongest budget environment in decades and directly supports GD’s multi-year revenue ramp across all four segments.</w:t>
      </w:r>
    </w:p>
    <w:p>
      <w:pPr>
        <w:pStyle w:val="ListBullet"/>
        <w:ind w:left="360" w:hanging="360"/>
      </w:pPr>
      <w:r>
        <w:rPr>
          <w:rFonts w:ascii="Calibri" w:hAnsi="Calibri"/>
          <w:b/>
          <w:color w:val="525866"/>
          <w:sz w:val="22"/>
        </w:rPr>
        <w:t xml:space="preserve">Raising FY2026 EPS guidance by $1.20 to $28.60–$29.10; sales guidance to $44B midpoint: </w:t>
      </w:r>
      <w:r>
        <w:rPr>
          <w:rFonts w:ascii="Calibri" w:hAnsi="Calibri"/>
          <w:color w:val="525866"/>
          <w:sz w:val="22"/>
        </w:rPr>
        <w:t>NOC’s guidance raise is the third major defense prime to raise guidance in Q2 2026 (alongside LMT and RTX), creating a strong read-through that GD’s own guidance trajectory is conservative rather than stretched.</w:t>
      </w:r>
    </w:p>
    <w:p>
      <w:pPr>
        <w:pStyle w:val="ListBullet"/>
        <w:ind w:left="360" w:hanging="360"/>
      </w:pPr>
      <w:r>
        <w:rPr>
          <w:rFonts w:ascii="Calibri" w:hAnsi="Calibri"/>
          <w:b/>
          <w:color w:val="525866"/>
          <w:sz w:val="22"/>
        </w:rPr>
        <w:t xml:space="preserve">National security space backlog exceeds $16B; Golden Dome funding being put on contract: </w:t>
      </w:r>
      <w:r>
        <w:rPr>
          <w:rFonts w:ascii="Calibri" w:hAnsi="Calibri"/>
          <w:color w:val="525866"/>
          <w:sz w:val="22"/>
        </w:rPr>
        <w:t>NOC’s space and missile defense commentary is relevant to GD’s Technologies segment (Mission Systems), which is transitioning to highly differentiated programs including strategic deterrence, proliferated space, and precision munitions — all areas seeing increased FY2026/2027 budget investment.</w:t>
      </w:r>
    </w:p>
    <w:p>
      <w:pPr>
        <w:pStyle w:val="ListBullet"/>
        <w:ind w:left="360" w:hanging="360"/>
      </w:pPr>
      <w:r>
        <w:rPr>
          <w:rFonts w:ascii="Calibri" w:hAnsi="Calibri"/>
          <w:b/>
          <w:color w:val="525866"/>
          <w:sz w:val="22"/>
        </w:rPr>
        <w:t xml:space="preserve">FMS cases being approved at a much more rapid rate than prior years: </w:t>
      </w:r>
      <w:r>
        <w:rPr>
          <w:rFonts w:ascii="Calibri" w:hAnsi="Calibri"/>
          <w:color w:val="525866"/>
          <w:sz w:val="22"/>
        </w:rPr>
        <w:t>Faster FMS approvals benefit GD’s Combat Systems international vehicle and munitions business, where European allies are the primary growth driver.</w:t>
      </w:r>
    </w:p>
    <w:p>
      <w:pPr>
        <w:pStyle w:val="Heading3"/>
      </w:pPr>
      <w:r>
        <w:rPr>
          <w:rFonts w:ascii="Calibri" w:hAnsi="Calibri"/>
          <w:b/>
          <w:color w:val="3B4259"/>
          <w:sz w:val="24"/>
        </w:rPr>
        <w:t>Huntington Ingalls Industries (HII) — Q1 2026 Earnings (May 5, 2026)</w:t>
      </w:r>
    </w:p>
    <w:p>
      <w:pPr>
        <w:pStyle w:val="ListBullet"/>
        <w:ind w:left="360" w:hanging="360"/>
      </w:pPr>
      <w:r>
        <w:rPr>
          <w:rFonts w:ascii="Calibri" w:hAnsi="Calibri"/>
          <w:b/>
          <w:color w:val="525866"/>
          <w:sz w:val="22"/>
        </w:rPr>
        <w:t xml:space="preserve">Shipbuilding sales growth of 18% YoY in Q1; targeting 15% throughput improvement for full year 2026: </w:t>
      </w:r>
      <w:r>
        <w:rPr>
          <w:rFonts w:ascii="Calibri" w:hAnsi="Calibri"/>
          <w:color w:val="525866"/>
          <w:sz w:val="22"/>
        </w:rPr>
        <w:t>HII’s shipbuilding throughput improvement is a direct read-through for GD’s Electric Boat (Marine Systems). Both companies are executing on the same submarine production ramp, and HII’s progress on Virginia-class and Columbia-class programs validates GD’s own throughput narrative.</w:t>
      </w:r>
    </w:p>
    <w:p>
      <w:pPr>
        <w:pStyle w:val="ListBullet"/>
        <w:ind w:left="360" w:hanging="360"/>
      </w:pPr>
      <w:r>
        <w:rPr>
          <w:rFonts w:ascii="Calibri" w:hAnsi="Calibri"/>
          <w:b/>
          <w:color w:val="525866"/>
          <w:sz w:val="22"/>
        </w:rPr>
        <w:t xml:space="preserve">Virginia-class Block VI and Columbia Build II contract awards anticipated in Q2 2026: </w:t>
      </w:r>
      <w:r>
        <w:rPr>
          <w:rFonts w:ascii="Calibri" w:hAnsi="Calibri"/>
          <w:color w:val="525866"/>
          <w:sz w:val="22"/>
        </w:rPr>
        <w:t>HII flagged that contract awards for the next Virginia and Columbia submarine blocks were expected in Q2 2026. These awards are critical for GD’s Electric Boat production sequencing and revenue visibility — any delay would be a risk to GD’s Marine Systems revenue ramp.</w:t>
      </w:r>
    </w:p>
    <w:p>
      <w:pPr>
        <w:pStyle w:val="ListBullet"/>
        <w:ind w:left="360" w:hanging="360"/>
      </w:pPr>
      <w:r>
        <w:rPr>
          <w:rFonts w:ascii="Calibri" w:hAnsi="Calibri"/>
          <w:b/>
          <w:color w:val="525866"/>
          <w:sz w:val="22"/>
        </w:rPr>
        <w:t xml:space="preserve">FY2027 budget includes 2 Block VI Virginia-class submarines, 1 Columbia-class, and initial funding for the Trump-class battleship (USS Defiant): </w:t>
      </w:r>
      <w:r>
        <w:rPr>
          <w:rFonts w:ascii="Calibri" w:hAnsi="Calibri"/>
          <w:color w:val="525866"/>
          <w:sz w:val="22"/>
        </w:rPr>
        <w:t>The FY2027 budget request confirms continued investment in GD’s core Marine Systems programs. The Trump-class battleship represents potential long-term upside for Electric Boat, which is already in early-stage detailed design work.</w:t>
      </w:r>
    </w:p>
    <w:p>
      <w:pPr>
        <w:pStyle w:val="ListBullet"/>
        <w:ind w:left="360" w:hanging="360"/>
      </w:pPr>
      <w:r>
        <w:rPr>
          <w:rFonts w:ascii="Calibri" w:hAnsi="Calibri"/>
          <w:b/>
          <w:color w:val="525866"/>
          <w:sz w:val="22"/>
        </w:rPr>
        <w:t xml:space="preserve">Hired 1,600+ shipbuilders in Q1; outsourcing hours growing 30% YoY: </w:t>
      </w:r>
      <w:r>
        <w:rPr>
          <w:rFonts w:ascii="Calibri" w:hAnsi="Calibri"/>
          <w:color w:val="525866"/>
          <w:sz w:val="22"/>
        </w:rPr>
        <w:t>HII’s workforce expansion and distributed shipbuilding strategy mirrors GD’s own labor investment at Electric Boat. The industry-wide labor build is a positive signal that the throughput ramp is real and sustainable.</w:t>
      </w:r>
    </w:p>
    <w:p>
      <w:pPr>
        <w:pStyle w:val="ListBullet"/>
        <w:ind w:left="360" w:hanging="360"/>
      </w:pPr>
      <w:r>
        <w:rPr>
          <w:rFonts w:ascii="Calibri" w:hAnsi="Calibri"/>
          <w:b/>
          <w:color w:val="525866"/>
          <w:sz w:val="22"/>
        </w:rPr>
        <w:t xml:space="preserve">Q2 2026 shipbuilding margins guided to 5.7%–6.0%; full-year FCF guidance of $500M–$600M reaffirmed: </w:t>
      </w:r>
      <w:r>
        <w:rPr>
          <w:rFonts w:ascii="Calibri" w:hAnsi="Calibri"/>
          <w:color w:val="525866"/>
          <w:sz w:val="22"/>
        </w:rPr>
        <w:t>HII’s Q2 margin guidance is relevant context for GD’s Marine Systems margin trajectory. GD’s Marine margins have been running higher than HII’s (Q1 2026: ~7.3% at GD vs. ~5.3% at HII Newport News), reflecting GD’s more favorable program mix and productivity improvements.</w:t>
      </w:r>
    </w:p>
    <w:p>
      <w:pPr>
        <w:pStyle w:val="Heading3"/>
      </w:pPr>
      <w:r>
        <w:rPr>
          <w:rFonts w:ascii="Calibri" w:hAnsi="Calibri"/>
          <w:b/>
          <w:color w:val="3B4259"/>
          <w:sz w:val="24"/>
        </w:rPr>
        <w:t>Textron (TXT) — Q2 2026 Earnings (July 28, 2026)</w:t>
      </w:r>
    </w:p>
    <w:p>
      <w:pPr>
        <w:pStyle w:val="ListBullet"/>
        <w:ind w:left="360" w:hanging="360"/>
      </w:pPr>
      <w:r>
        <w:rPr>
          <w:rFonts w:ascii="Calibri" w:hAnsi="Calibri"/>
          <w:b/>
          <w:color w:val="525866"/>
          <w:sz w:val="22"/>
        </w:rPr>
        <w:t xml:space="preserve">Business jet and turboprop demand “robust”; aviation backlog at $8B: </w:t>
      </w:r>
      <w:r>
        <w:rPr>
          <w:rFonts w:ascii="Calibri" w:hAnsi="Calibri"/>
          <w:color w:val="525866"/>
          <w:sz w:val="22"/>
        </w:rPr>
        <w:t>TXT’s Textron Aviation delivered 40 jets in Q2 with demand described as robust across jets and turboprops, supporting an $8B backlog. This is a constructive read-through for Gulfstream’s order environment, though Gulfstream operates in the large-cabin ultra-long-range segment where demand dynamics differ from Cessna/Beechcraft.</w:t>
      </w:r>
    </w:p>
    <w:p>
      <w:pPr>
        <w:pStyle w:val="ListBullet"/>
        <w:ind w:left="360" w:hanging="360"/>
      </w:pPr>
      <w:r>
        <w:rPr>
          <w:rFonts w:ascii="Calibri" w:hAnsi="Calibri"/>
          <w:b/>
          <w:color w:val="525866"/>
          <w:sz w:val="22"/>
        </w:rPr>
        <w:t xml:space="preserve">Supply chain improved in most areas but key component issues persist; dual sourcing initiatives expanding: </w:t>
      </w:r>
      <w:r>
        <w:rPr>
          <w:rFonts w:ascii="Calibri" w:hAnsi="Calibri"/>
          <w:color w:val="525866"/>
          <w:sz w:val="22"/>
        </w:rPr>
        <w:t>TXT’s supply chain commentary is consistent with GD’s Q1 language on Aerospace supply chain constraints. The industry-wide nature of the issue suggests GD’s Gulfstream production ramp is constrained by the same dynamics, not company-specific execution failures.</w:t>
      </w:r>
    </w:p>
    <w:p>
      <w:pPr>
        <w:pStyle w:val="ListBullet"/>
        <w:ind w:left="360" w:hanging="360"/>
      </w:pPr>
      <w:r>
        <w:rPr>
          <w:rFonts w:ascii="Calibri" w:hAnsi="Calibri"/>
          <w:b/>
          <w:color w:val="525866"/>
          <w:sz w:val="22"/>
        </w:rPr>
        <w:t xml:space="preserve">Textron Systems revenue +7% in Q2, +10% in H1 2026; Mobile Strike Force Vehicle production began for Ukraine: </w:t>
      </w:r>
      <w:r>
        <w:rPr>
          <w:rFonts w:ascii="Calibri" w:hAnsi="Calibri"/>
          <w:color w:val="525866"/>
          <w:sz w:val="22"/>
        </w:rPr>
        <w:t>TXT’s defense systems growth and Ukraine vehicle deliveries are a read-through for GD’s Combat Systems wheeled vehicle business (Stryker, LAV), where international demand is also accelerating.</w:t>
      </w:r>
    </w:p>
    <w:p>
      <w:pPr>
        <w:pStyle w:val="ListBullet"/>
        <w:ind w:left="360" w:hanging="360"/>
      </w:pPr>
      <w:r>
        <w:rPr>
          <w:rFonts w:ascii="Calibri" w:hAnsi="Calibri"/>
          <w:b/>
          <w:color w:val="525866"/>
          <w:sz w:val="22"/>
        </w:rPr>
        <w:t xml:space="preserve">FY2026 adjusted EPS guidance reiterated at $6.40–$6.60; aviation margin growth expected in Q4: </w:t>
      </w:r>
      <w:r>
        <w:rPr>
          <w:rFonts w:ascii="Calibri" w:hAnsi="Calibri"/>
          <w:color w:val="525866"/>
          <w:sz w:val="22"/>
        </w:rPr>
        <w:t>TXT’s aviation margin recovery is expected to begin in Q4 2026, consistent with GD’s own guidance that Q4 will be the strongest quarter for Aerospace from both a mix and margin standpoint.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FY2027 defense budget request crossing $1 trillion with bipartisan support — a structural tailwind for GD’s entire portfolio — while the Mesquite artillery facility resolution removes a near-term overhang for Combat Systems.</w:t>
      </w:r>
    </w:p>
    <w:p>
      <w:pPr>
        <w:pStyle w:val="ListBullet"/>
        <w:ind w:left="360" w:hanging="360"/>
      </w:pPr>
      <w:r>
        <w:rPr>
          <w:rFonts w:ascii="Calibri" w:hAnsi="Calibri"/>
          <w:b/>
          <w:color w:val="525866"/>
          <w:sz w:val="22"/>
        </w:rPr>
        <w:t xml:space="preserve">April 2026 — FY2027 Defense Budget Request Submitted at ~$1 Trillion (+25% YoY): </w:t>
      </w:r>
      <w:r>
        <w:rPr>
          <w:rFonts w:ascii="Calibri" w:hAnsi="Calibri"/>
          <w:color w:val="525866"/>
          <w:sz w:val="22"/>
        </w:rPr>
        <w:t xml:space="preserve">The administration submitted a top-level FY2027 budget request crossing the $1 trillion mark, with bipartisan support in both the House and Senate Armed Services Committees for a ~$1.1T base budget. The request includes 2 Block VI Virginia-class submarines, 1 Columbia-class submarine, continued funding for DDG-51, and initial advanced procurement for the Trump-class battleship (USS Defiant). This is the single most important macro development for GD’s multi-year revenue ramp. </w:t>
      </w:r>
    </w:p>
    <w:p>
      <w:pPr>
        <w:pStyle w:val="ListBullet"/>
        <w:ind w:left="360" w:hanging="360"/>
      </w:pPr>
      <w:r>
        <w:rPr>
          <w:rFonts w:ascii="Calibri" w:hAnsi="Calibri"/>
          <w:b/>
          <w:color w:val="525866"/>
          <w:sz w:val="22"/>
        </w:rPr>
        <w:t xml:space="preserve">April 29, 2026 — Q1 2026 Earnings Beat and FY2026 EPS Guidance Raised to $16.45–$16.55: </w:t>
      </w:r>
      <w:r>
        <w:rPr>
          <w:rFonts w:ascii="Calibri" w:hAnsi="Calibri"/>
          <w:color w:val="525866"/>
          <w:sz w:val="22"/>
        </w:rPr>
        <w:t>GD reported Q1 EPS of $4.10 vs. $3.68 consensus (+11.4% beat) and revenue of $13.48B vs. $12.73B consensus (+6.0% beat). FY2026 EPS guidance was raised from $16.10–$16.20 to $16.45–$16.55. Free cash flow conversion was 174% in Q1, dramatically above the 100% full-year target. Management noted Q1 will be the largest FCF quarter of the year.</w:t>
      </w:r>
    </w:p>
    <w:p>
      <w:pPr>
        <w:pStyle w:val="ListBullet"/>
        <w:ind w:left="360" w:hanging="360"/>
      </w:pPr>
      <w:r>
        <w:rPr>
          <w:rFonts w:ascii="Calibri" w:hAnsi="Calibri"/>
          <w:b/>
          <w:color w:val="525866"/>
          <w:sz w:val="22"/>
        </w:rPr>
        <w:t xml:space="preserve">April 29, 2026 — Mesquite Artillery Facility: Agreement Reached with U.S. Army on Path Forward: </w:t>
      </w:r>
      <w:r>
        <w:rPr>
          <w:rFonts w:ascii="Calibri" w:hAnsi="Calibri"/>
          <w:color w:val="525866"/>
          <w:sz w:val="22"/>
        </w:rPr>
        <w:t>GD management confirmed on the Q1 call that the company reached agreement with the Army on the path forward for the Mesquite, Texas artillery facility, with production expected to begin in 2027. This resolves a key overhang that had generated negative trade press and removes uncertainty around the munitions growth ramp in Combat Systems.</w:t>
      </w:r>
    </w:p>
    <w:p>
      <w:pPr>
        <w:pStyle w:val="ListBullet"/>
        <w:ind w:left="360" w:hanging="360"/>
      </w:pPr>
      <w:r>
        <w:rPr>
          <w:rFonts w:ascii="Calibri" w:hAnsi="Calibri"/>
          <w:b/>
          <w:color w:val="525866"/>
          <w:sz w:val="22"/>
        </w:rPr>
        <w:t xml:space="preserve">April 29, 2026 — Columbia-Class Submarine: Key Assembly Milestone Targeted by End of 2026: </w:t>
      </w:r>
      <w:r>
        <w:rPr>
          <w:rFonts w:ascii="Calibri" w:hAnsi="Calibri"/>
          <w:color w:val="525866"/>
          <w:sz w:val="22"/>
        </w:rPr>
        <w:t>Management confirmed all major modules for the first Columbia-class submarine were received by end of 2025, with a key assembly milestone targeted by end of 2026 and first delivery on track for end of 2028. This is a critical program milestone for Marine Systems’ long-term revenue ramp.</w:t>
      </w:r>
    </w:p>
    <w:p>
      <w:pPr>
        <w:pStyle w:val="ListBullet"/>
        <w:ind w:left="360" w:hanging="360"/>
      </w:pPr>
      <w:r>
        <w:rPr>
          <w:rFonts w:ascii="Calibri" w:hAnsi="Calibri"/>
          <w:b/>
          <w:color w:val="525866"/>
          <w:sz w:val="22"/>
        </w:rPr>
        <w:t xml:space="preserve">April 29, 2026 — G800 Gross Margins Already Exceeding G650 Despite Early Ramp: </w:t>
      </w:r>
      <w:r>
        <w:rPr>
          <w:rFonts w:ascii="Calibri" w:hAnsi="Calibri"/>
          <w:color w:val="525866"/>
          <w:sz w:val="22"/>
        </w:rPr>
        <w:t>Management disclosed that G800 gross margins in Q1 exceeded those of the G650 it replaced — a remarkable achievement given only 25 G800s had been delivered at that point. This is the most important data point for the Aerospace margin durability thesis and suggests the mid-to-high teens margin target for 2027 is achievable ahead of schedule.</w:t>
      </w:r>
    </w:p>
    <w:p>
      <w:pPr>
        <w:pStyle w:val="ListBullet"/>
        <w:ind w:left="360" w:hanging="360"/>
      </w:pPr>
      <w:r>
        <w:rPr>
          <w:rFonts w:ascii="Calibri" w:hAnsi="Calibri"/>
          <w:b/>
          <w:color w:val="525866"/>
          <w:sz w:val="22"/>
        </w:rPr>
        <w:t xml:space="preserve">May 2026 — Virginia-Class Block VI and Columbia Build II Contract Awards Expected in Q2 2026 (per HII): </w:t>
      </w:r>
      <w:r>
        <w:rPr>
          <w:rFonts w:ascii="Calibri" w:hAnsi="Calibri"/>
          <w:color w:val="525866"/>
          <w:sz w:val="22"/>
        </w:rPr>
        <w:t>HII flagged on its Q1 2026 call that contract awards for the next Virginia and Columbia submarine blocks were anticipated in Q2 2026. These awards are critical for GD’s Electric Boat production sequencing and would represent a significant backlog addition if announced before or alongside GD’s Q2 print.</w:t>
      </w:r>
    </w:p>
    <w:p>
      <w:pPr>
        <w:pStyle w:val="ListBullet"/>
        <w:ind w:left="360" w:hanging="360"/>
      </w:pPr>
      <w:r>
        <w:rPr>
          <w:rFonts w:ascii="Calibri" w:hAnsi="Calibri"/>
          <w:b/>
          <w:color w:val="525866"/>
          <w:sz w:val="22"/>
        </w:rPr>
        <w:t xml:space="preserve">July 2026 — Defense Peers Raise Guidance Broadly (LMT, RTX, NOC): </w:t>
      </w:r>
      <w:r>
        <w:rPr>
          <w:rFonts w:ascii="Calibri" w:hAnsi="Calibri"/>
          <w:color w:val="525866"/>
          <w:sz w:val="22"/>
        </w:rPr>
        <w:t>All three major defense primes reporting before GD raised their FY2026 guidance in Q2 2026 earnings: LMT raised EPS to $29.95–$30.65, RTX raised EPS, and NOC raised EPS by $1.20 to $28.60–$29.10. The broad-based guidance raises across the sector create a strong read-through that GD’s own guidance is conservative.</w:t>
      </w:r>
    </w:p>
    <w:p>
      <w:pPr>
        <w:pStyle w:val="ListBullet"/>
        <w:ind w:left="360" w:hanging="360"/>
      </w:pPr>
      <w:r>
        <w:rPr>
          <w:rFonts w:ascii="Calibri" w:hAnsi="Calibri"/>
          <w:b/>
          <w:color w:val="525866"/>
          <w:sz w:val="22"/>
        </w:rPr>
        <w:t xml:space="preserve">July 2026 — $350B Defense Reconciliation Package Under Congressional Consideration: </w:t>
      </w:r>
      <w:r>
        <w:rPr>
          <w:rFonts w:ascii="Calibri" w:hAnsi="Calibri"/>
          <w:color w:val="525866"/>
          <w:sz w:val="22"/>
        </w:rPr>
        <w:t>Congress is considering the administration’s $350B reconciliation package aimed at expanding and modernizing military capabilities. If enacted, this would represent significant incremental funding for GD’s submarine, combat vehicle, and munitions programs beyond the base budget.</w:t>
      </w:r>
    </w:p>
    <w:p>
      <w:pPr>
        <w:pStyle w:val="ListBullet"/>
        <w:ind w:left="360" w:hanging="360"/>
      </w:pPr>
      <w:r>
        <w:rPr>
          <w:rFonts w:ascii="Calibri" w:hAnsi="Calibri"/>
          <w:b/>
          <w:color w:val="525866"/>
          <w:sz w:val="22"/>
        </w:rPr>
        <w:t xml:space="preserve">Ongoing — Middle East Conflict: Potential Small Impact on G280 Supply Chain from Israel: </w:t>
      </w:r>
      <w:r>
        <w:rPr>
          <w:rFonts w:ascii="Calibri" w:hAnsi="Calibri"/>
          <w:color w:val="525866"/>
          <w:sz w:val="22"/>
        </w:rPr>
        <w:t>Management flagged on the Q1 call that the ongoing Middle East conflict could have a “small impact” on G280 component supply from Israel if the conflict continues. This remains a watch item for Aerospace segment revenue, though the G280 is a smaller contributor to overall Aerospace results than the G700/G800.</w:t>
      </w:r>
    </w:p>
    <w:p>
      <w:pPr>
        <w:pStyle w:val="ListBullet"/>
        <w:ind w:left="360" w:hanging="360"/>
      </w:pPr>
      <w:r>
        <w:rPr>
          <w:rFonts w:ascii="Calibri" w:hAnsi="Calibri"/>
          <w:b/>
          <w:color w:val="525866"/>
          <w:sz w:val="22"/>
        </w:rPr>
        <w:t xml:space="preserve">Ongoing — Tariff Environment: Minimal Impact to Date; IEEPA Tariffs Not Assumed in Guidance: </w:t>
      </w:r>
      <w:r>
        <w:rPr>
          <w:rFonts w:ascii="Calibri" w:hAnsi="Calibri"/>
          <w:color w:val="525866"/>
          <w:sz w:val="22"/>
        </w:rPr>
        <w:t>Management noted on the Q1 call that neither Q1 2025 nor Q1 2026 had any material tariff costs, and IEEPA tariffs were not assumed in forward guidance. Peers (TXT) received a $21M gross IEEPA tariff refund in Q2, suggesting the tariff environment may be more favorable than feared. This is a potential upside catalyst for GD’s Aerospace segment.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senior executives since Q1 earnings — the only notable activity is a large option exercise-and-sell by EVP Mark Burns (dilution-neutral, compensation-driven) and routine director stock award grants. Nothing in the insider activity signals unusual conviction or concern heading into Q2.</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Burns, Mark Lagrand</w:t>
            </w:r>
          </w:p>
        </w:tc>
        <w:tc>
          <w:tcPr>
            <w:tcW w:type="dxa" w:w="1440"/>
          </w:tcPr>
          <w:p>
            <w:r>
              <w:rPr>
                <w:rFonts w:ascii="Calibri" w:hAnsi="Calibri"/>
                <w:sz w:val="22"/>
              </w:rPr>
              <w:t>Executive Vice President</w:t>
            </w:r>
          </w:p>
        </w:tc>
        <w:tc>
          <w:tcPr>
            <w:tcW w:type="dxa" w:w="1440"/>
          </w:tcPr>
          <w:p>
            <w:r>
              <w:rPr>
                <w:rFonts w:ascii="Calibri" w:hAnsi="Calibri"/>
                <w:sz w:val="22"/>
              </w:rPr>
              <w:t>Option Exercise &amp; Open Market Sale</w:t>
            </w:r>
          </w:p>
        </w:tc>
        <w:tc>
          <w:tcPr>
            <w:tcW w:type="dxa" w:w="1440"/>
          </w:tcPr>
          <w:p>
            <w:r>
              <w:rPr>
                <w:rFonts w:ascii="Calibri" w:hAnsi="Calibri"/>
                <w:sz w:val="22"/>
              </w:rPr>
              <w:t>36,230 (May 11) + 36,480 (May 12) = 72,710 total</w:t>
            </w:r>
          </w:p>
        </w:tc>
        <w:tc>
          <w:tcPr>
            <w:tcW w:type="dxa" w:w="1440"/>
          </w:tcPr>
          <w:p>
            <w:r>
              <w:rPr>
                <w:rFonts w:ascii="Calibri" w:hAnsi="Calibri"/>
                <w:sz w:val="22"/>
              </w:rPr>
              <w:t>May 11–12, 2026</w:t>
            </w:r>
          </w:p>
        </w:tc>
        <w:tc>
          <w:tcPr>
            <w:tcW w:type="dxa" w:w="1440"/>
          </w:tcPr>
          <w:p>
            <w:r>
              <w:rPr>
                <w:rFonts w:ascii="Calibri" w:hAnsi="Calibri"/>
                <w:sz w:val="22"/>
              </w:rPr>
              <w:t>Exercised stock options (M code) and sold resulting shares (S code) on same dates; compensation-driven, not discretionary; no 10b5-1 plan flagged</w:t>
            </w:r>
          </w:p>
        </w:tc>
      </w:tr>
      <w:tr>
        <w:tc>
          <w:tcPr>
            <w:tcW w:type="dxa" w:w="1440"/>
          </w:tcPr>
          <w:p>
            <w:r>
              <w:rPr>
                <w:rFonts w:ascii="Calibri" w:hAnsi="Calibri"/>
                <w:sz w:val="22"/>
              </w:rPr>
              <w:t>Malcolm, Mark</w:t>
            </w:r>
          </w:p>
        </w:tc>
        <w:tc>
          <w:tcPr>
            <w:tcW w:type="dxa" w:w="1440"/>
          </w:tcPr>
          <w:p>
            <w:r>
              <w:rPr>
                <w:rFonts w:ascii="Calibri" w:hAnsi="Calibri"/>
                <w:sz w:val="22"/>
              </w:rPr>
              <w:t>Director</w:t>
            </w:r>
          </w:p>
        </w:tc>
        <w:tc>
          <w:tcPr>
            <w:tcW w:type="dxa" w:w="1440"/>
          </w:tcPr>
          <w:p>
            <w:r>
              <w:rPr>
                <w:rFonts w:ascii="Calibri" w:hAnsi="Calibri"/>
                <w:sz w:val="22"/>
              </w:rPr>
              <w:t>Option Exercise &amp; Sale</w:t>
            </w:r>
          </w:p>
        </w:tc>
        <w:tc>
          <w:tcPr>
            <w:tcW w:type="dxa" w:w="1440"/>
          </w:tcPr>
          <w:p>
            <w:r>
              <w:rPr>
                <w:rFonts w:ascii="Calibri" w:hAnsi="Calibri"/>
                <w:sz w:val="22"/>
              </w:rPr>
              <w:t>5,480</w:t>
            </w:r>
          </w:p>
        </w:tc>
        <w:tc>
          <w:tcPr>
            <w:tcW w:type="dxa" w:w="1440"/>
          </w:tcPr>
          <w:p>
            <w:r>
              <w:rPr>
                <w:rFonts w:ascii="Calibri" w:hAnsi="Calibri"/>
                <w:sz w:val="22"/>
              </w:rPr>
              <w:t>June 17, 2026</w:t>
            </w:r>
          </w:p>
        </w:tc>
        <w:tc>
          <w:tcPr>
            <w:tcW w:type="dxa" w:w="1440"/>
          </w:tcPr>
          <w:p>
            <w:r>
              <w:rPr>
                <w:rFonts w:ascii="Calibri" w:hAnsi="Calibri"/>
                <w:sz w:val="22"/>
              </w:rPr>
              <w:t>Exercised options (M code) and sold shares (S code); routine director compensation exercise; no discretionary signal</w:t>
            </w:r>
          </w:p>
        </w:tc>
      </w:tr>
      <w:tr>
        <w:tc>
          <w:tcPr>
            <w:tcW w:type="dxa" w:w="1440"/>
          </w:tcPr>
          <w:p>
            <w:r>
              <w:rPr>
                <w:rFonts w:ascii="Calibri" w:hAnsi="Calibri"/>
                <w:sz w:val="22"/>
              </w:rPr>
              <w:t>Maisano, Dana Omahen</w:t>
            </w:r>
          </w:p>
        </w:tc>
        <w:tc>
          <w:tcPr>
            <w:tcW w:type="dxa" w:w="1440"/>
          </w:tcPr>
          <w:p>
            <w:r>
              <w:rPr>
                <w:rFonts w:ascii="Calibri" w:hAnsi="Calibri"/>
                <w:sz w:val="22"/>
              </w:rPr>
              <w:t>Vice President</w:t>
            </w:r>
          </w:p>
        </w:tc>
        <w:tc>
          <w:tcPr>
            <w:tcW w:type="dxa" w:w="1440"/>
          </w:tcPr>
          <w:p>
            <w:r>
              <w:rPr>
                <w:rFonts w:ascii="Calibri" w:hAnsi="Calibri"/>
                <w:sz w:val="22"/>
              </w:rPr>
              <w:t>Option Exercise &amp; Stock Award</w:t>
            </w:r>
          </w:p>
        </w:tc>
        <w:tc>
          <w:tcPr>
            <w:tcW w:type="dxa" w:w="1440"/>
          </w:tcPr>
          <w:p>
            <w:r>
              <w:rPr>
                <w:rFonts w:ascii="Calibri" w:hAnsi="Calibri"/>
                <w:sz w:val="22"/>
              </w:rPr>
              <w:t>3,890 options + 480 shares</w:t>
            </w:r>
          </w:p>
        </w:tc>
        <w:tc>
          <w:tcPr>
            <w:tcW w:type="dxa" w:w="1440"/>
          </w:tcPr>
          <w:p>
            <w:r>
              <w:rPr>
                <w:rFonts w:ascii="Calibri" w:hAnsi="Calibri"/>
                <w:sz w:val="22"/>
              </w:rPr>
              <w:t>June 1, 2026</w:t>
            </w:r>
          </w:p>
        </w:tc>
        <w:tc>
          <w:tcPr>
            <w:tcW w:type="dxa" w:w="1440"/>
          </w:tcPr>
          <w:p>
            <w:r>
              <w:rPr>
                <w:rFonts w:ascii="Calibri" w:hAnsi="Calibri"/>
                <w:sz w:val="22"/>
              </w:rPr>
              <w:t>Option exercise (M code) and stock award acquisition (A code); compensation-driven; no open-market purchase or discretionary sale</w:t>
            </w:r>
          </w:p>
        </w:tc>
      </w:tr>
      <w:tr>
        <w:tc>
          <w:tcPr>
            <w:tcW w:type="dxa" w:w="1440"/>
          </w:tcPr>
          <w:p>
            <w:r>
              <w:rPr>
                <w:rFonts w:ascii="Calibri" w:hAnsi="Calibri"/>
                <w:sz w:val="22"/>
              </w:rPr>
              <w:t>DE LEON, Rudy F.</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52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HANEY, Cecil D.</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10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Hooper, Charles W.</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20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Mattis, James N.</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58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Nye, C. Howard</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52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Reynolds, Catherine B.</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104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Schumacher, Laura J.</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104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r>
        <w:tc>
          <w:tcPr>
            <w:tcW w:type="dxa" w:w="1440"/>
          </w:tcPr>
          <w:p>
            <w:r>
              <w:rPr>
                <w:rFonts w:ascii="Calibri" w:hAnsi="Calibri"/>
                <w:sz w:val="22"/>
              </w:rPr>
              <w:t>Stratton, John G.</w:t>
            </w:r>
          </w:p>
        </w:tc>
        <w:tc>
          <w:tcPr>
            <w:tcW w:type="dxa" w:w="1440"/>
          </w:tcPr>
          <w:p>
            <w:r>
              <w:rPr>
                <w:rFonts w:ascii="Calibri" w:hAnsi="Calibri"/>
                <w:sz w:val="22"/>
              </w:rPr>
              <w:t>Director</w:t>
            </w:r>
          </w:p>
        </w:tc>
        <w:tc>
          <w:tcPr>
            <w:tcW w:type="dxa" w:w="1440"/>
          </w:tcPr>
          <w:p>
            <w:r>
              <w:rPr>
                <w:rFonts w:ascii="Calibri" w:hAnsi="Calibri"/>
                <w:sz w:val="22"/>
              </w:rPr>
              <w:t>Stock Award (Acquisition)</w:t>
            </w:r>
          </w:p>
        </w:tc>
        <w:tc>
          <w:tcPr>
            <w:tcW w:type="dxa" w:w="1440"/>
          </w:tcPr>
          <w:p>
            <w:r>
              <w:rPr>
                <w:rFonts w:ascii="Calibri" w:hAnsi="Calibri"/>
                <w:sz w:val="22"/>
              </w:rPr>
              <w:t>104 shares</w:t>
            </w:r>
          </w:p>
        </w:tc>
        <w:tc>
          <w:tcPr>
            <w:tcW w:type="dxa" w:w="1440"/>
          </w:tcPr>
          <w:p>
            <w:r>
              <w:rPr>
                <w:rFonts w:ascii="Calibri" w:hAnsi="Calibri"/>
                <w:sz w:val="22"/>
              </w:rPr>
              <w:t>June 16, 2026</w:t>
            </w:r>
          </w:p>
        </w:tc>
        <w:tc>
          <w:tcPr>
            <w:tcW w:type="dxa" w:w="1440"/>
          </w:tcPr>
          <w:p>
            <w:r>
              <w:rPr>
                <w:rFonts w:ascii="Calibri" w:hAnsi="Calibri"/>
                <w:sz w:val="22"/>
              </w:rPr>
              <w:t>Routine annual director stock award (A code); not an open-market purchase</w:t>
            </w:r>
          </w:p>
        </w:tc>
      </w:tr>
    </w:tbl>
    <w:p>
      <w:r>
        <w:rPr>
          <w:rFonts w:ascii="Calibri" w:hAnsi="Calibri"/>
          <w:i/>
          <w:color w:val="525866"/>
          <w:sz w:val="22"/>
        </w:rPr>
        <w:t xml:space="preserve">Source: Insider Transaction Data (SEC Form 4 filings). Open-market buys (code P) and discretionary sells (code S) only are flagged as signal-bearing; all other transactions above are compensation-driven (option exercises, stock awards). </w:t>
      </w:r>
    </w:p>
    <w:p>
      <w:r>
        <w:rPr>
          <w:rFonts w:ascii="Calibri" w:hAnsi="Calibri"/>
          <w:b/>
          <w:color w:val="525866"/>
          <w:sz w:val="22"/>
        </w:rPr>
        <w:t xml:space="preserve">Assessment: </w:t>
      </w:r>
      <w:r>
        <w:rPr>
          <w:rFonts w:ascii="Calibri" w:hAnsi="Calibri"/>
          <w:color w:val="525866"/>
          <w:sz w:val="22"/>
        </w:rPr>
        <w:t>The absence of any open-market purchases or discretionary sales by C-suite executives (CEO, CFO, or segment presidents) since Q1 earnings is neutral — neither a bullish nor bearish signal. The EVP Burns option exercise-and-sell is a standard compensation monetization event and carries no informational content about management’s view of the stock. The director stock awards are routine annual grants. Overall, insider activity is unremarkable and does not alter the earnings setup thesis.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