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General Dynamics Corporation (GD)</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GD</w:t>
            </w:r>
          </w:p>
        </w:tc>
        <w:tc>
          <w:tcPr>
            <w:tcW w:type="dxa" w:w="2160"/>
          </w:tcPr>
          <w:p>
            <w:r>
              <w:rPr>
                <w:rFonts w:ascii="Calibri" w:hAnsi="Calibri"/>
                <w:b/>
                <w:sz w:val="22"/>
              </w:rPr>
              <w:t>Earnings Date</w:t>
            </w:r>
          </w:p>
        </w:tc>
        <w:tc>
          <w:tcPr>
            <w:tcW w:type="dxa" w:w="2160"/>
          </w:tcPr>
          <w:p>
            <w:r>
              <w:rPr>
                <w:rFonts w:ascii="Calibri" w:hAnsi="Calibri"/>
                <w:sz w:val="22"/>
              </w:rPr>
              <w:t>July 29, 2026</w:t>
            </w:r>
          </w:p>
        </w:tc>
      </w:tr>
      <w:tr>
        <w:tc>
          <w:tcPr>
            <w:tcW w:type="dxa" w:w="2160"/>
          </w:tcPr>
          <w:p>
            <w:r>
              <w:rPr>
                <w:rFonts w:ascii="Calibri" w:hAnsi="Calibri"/>
                <w:b/>
                <w:sz w:val="22"/>
              </w:rPr>
              <w:t>Reporting Period</w:t>
            </w:r>
          </w:p>
        </w:tc>
        <w:tc>
          <w:tcPr>
            <w:tcW w:type="dxa" w:w="2160"/>
          </w:tcPr>
          <w:p>
            <w:r>
              <w:rPr>
                <w:rFonts w:ascii="Calibri" w:hAnsi="Calibri"/>
                <w:sz w:val="22"/>
              </w:rPr>
              <w:t>Q2 2026 (ending June 30, 2026)</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Last Earnings</w:t>
            </w:r>
          </w:p>
        </w:tc>
        <w:tc>
          <w:tcPr>
            <w:tcW w:type="dxa" w:w="2160"/>
          </w:tcPr>
          <w:p>
            <w:r>
              <w:rPr>
                <w:rFonts w:ascii="Calibri" w:hAnsi="Calibri"/>
                <w:sz w:val="22"/>
              </w:rPr>
              <w:t>April 29, 2026 (Q1 2026)</w:t>
            </w:r>
          </w:p>
        </w:tc>
        <w:tc>
          <w:tcPr>
            <w:tcW w:type="dxa" w:w="2160"/>
          </w:tcPr>
          <w:p>
            <w:r>
              <w:rPr>
                <w:rFonts w:ascii="Calibri" w:hAnsi="Calibri"/>
                <w:b/>
                <w:sz w:val="22"/>
              </w:rPr>
              <w:t>Sector ETF</w:t>
            </w:r>
          </w:p>
        </w:tc>
        <w:tc>
          <w:tcPr>
            <w:tcW w:type="dxa" w:w="2160"/>
          </w:tcPr>
          <w:p>
            <w:r>
              <w:rPr>
                <w:rFonts w:ascii="Calibri" w:hAnsi="Calibri"/>
                <w:sz w:val="22"/>
              </w:rPr>
              <w:t>XLI (Industrials)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after Q1's broad-based outperformance, and the single biggest swing factor is whether Aerospace margins hold at or above the mid-teens level that surprised the Street last quarter.</w:t>
      </w:r>
    </w:p>
    <w:p>
      <w:r>
        <w:rPr>
          <w:rFonts w:ascii="Calibri" w:hAnsi="Calibri"/>
          <w:color w:val="525866"/>
          <w:sz w:val="22"/>
        </w:rPr>
        <w:t xml:space="preserve">Heading into Q2 2026, General Dynamics carries significant momentum from a Q1 that management described as exceeding its own internal expectations across all four segments. </w:t>
      </w:r>
      <w:r>
        <w:rPr>
          <w:rFonts w:ascii="Calibri" w:hAnsi="Calibri"/>
          <w:b/>
          <w:color w:val="525866"/>
          <w:sz w:val="22"/>
        </w:rPr>
        <w:t>Consensus EPS of ~$3.98 and revenue of ~$13.5B represent a modest bar</w:t>
      </w:r>
      <w:r>
        <w:rPr>
          <w:rFonts w:ascii="Calibri" w:hAnsi="Calibri"/>
          <w:color w:val="525866"/>
          <w:sz w:val="22"/>
        </w:rPr>
        <w:t xml:space="preserve"> — management guided Q2 deliveries to be "very similar to Q1" (38 aircraft), and the Aerospace margin trajectory has been explicitly described as durable, with G800 gross margins already exceeding the G650 it replaced despite being only 25 units into the program. </w:t>
      </w:r>
      <w:r>
        <w:rPr>
          <w:rFonts w:ascii="Calibri" w:hAnsi="Calibri"/>
          <w:b/>
          <w:color w:val="525866"/>
          <w:sz w:val="22"/>
        </w:rPr>
        <w:t>Estimate revisions have been modestly positive since the Q1 print</w:t>
      </w:r>
      <w:r>
        <w:rPr>
          <w:rFonts w:ascii="Calibri" w:hAnsi="Calibri"/>
          <w:color w:val="525866"/>
          <w:sz w:val="22"/>
        </w:rPr>
        <w:t xml:space="preserve"> (EPS consensus moved from ~$3.93 to ~$3.98 post-earnings), suggesting the Street has partially but not fully credited the guidance raise to $16.45–$16.55 for the full year. </w:t>
      </w:r>
      <w:r>
        <w:rPr>
          <w:rFonts w:ascii="Calibri" w:hAnsi="Calibri"/>
          <w:b/>
          <w:color w:val="525866"/>
          <w:sz w:val="22"/>
        </w:rPr>
        <w:t>The stock has rallied ~16% since the Q1 print</w:t>
      </w:r>
      <w:r>
        <w:rPr>
          <w:rFonts w:ascii="Calibri" w:hAnsi="Calibri"/>
          <w:color w:val="525866"/>
          <w:sz w:val="22"/>
        </w:rPr>
        <w:t xml:space="preserve"> (from $338.73 to ~$393), with the move driven almost entirely by multiple expansion rather than estimate revisions, implying the market is pricing in sustained execution — leaving the stock vulnerable to any operational stumble. </w:t>
      </w:r>
      <w:r>
        <w:rPr>
          <w:rFonts w:ascii="Calibri" w:hAnsi="Calibri"/>
          <w:b/>
          <w:color w:val="525866"/>
          <w:sz w:val="22"/>
        </w:rPr>
        <w:t>The key wildcard is the Middle East conflict</w:t>
      </w:r>
      <w:r>
        <w:rPr>
          <w:rFonts w:ascii="Calibri" w:hAnsi="Calibri"/>
          <w:color w:val="525866"/>
          <w:sz w:val="22"/>
        </w:rPr>
        <w:t>: management flagged that numerous Aerospace transactions slowed at Q1's end due to regional tensions, and a prolonged conflict could weigh on Gulfstream order intake and G280 supply chain (Israeli labor force), while simultaneously accelerating Combat Systems demand for munitions and vehicle replenishment — a cross-segment dynamic that makes the net impact difficult to predict.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across all four segments; </w:t>
      </w:r>
      <w:r>
        <w:rPr>
          <w:rFonts w:ascii="Calibri" w:hAnsi="Calibri"/>
          <w:b/>
          <w:color w:val="525866"/>
          <w:sz w:val="22"/>
        </w:rPr>
        <w:t>Aerospace operating margin is the biggest swing factor</w:t>
      </w:r>
      <w:r>
        <w:rPr>
          <w:rFonts w:ascii="Calibri" w:hAnsi="Calibri"/>
          <w:color w:val="525866"/>
          <w:sz w:val="22"/>
        </w:rPr>
        <w:t xml:space="preserve"> — any print at or above 15% would confirm the mid-teens trajectory is durable, while Marine Systems revenue growth is the second key watch given the 21% YoY surge in Q1.</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($B)</w:t>
            </w:r>
          </w:p>
        </w:tc>
        <w:tc>
          <w:tcPr>
            <w:tcW w:type="dxa" w:w="1234"/>
          </w:tcPr>
          <w:p>
            <w:r>
              <w:rPr>
                <w:rFonts w:ascii="Calibri" w:hAnsi="Calibri"/>
                <w:sz w:val="22"/>
              </w:rPr>
              <w:t>$13.48B</w:t>
            </w:r>
          </w:p>
        </w:tc>
        <w:tc>
          <w:tcPr>
            <w:tcW w:type="dxa" w:w="1234"/>
          </w:tcPr>
          <w:p>
            <w:r>
              <w:rPr>
                <w:rFonts w:ascii="Calibri" w:hAnsi="Calibri"/>
                <w:sz w:val="22"/>
              </w:rPr>
              <w:t>$13.04B</w:t>
            </w:r>
          </w:p>
        </w:tc>
        <w:tc>
          <w:tcPr>
            <w:tcW w:type="dxa" w:w="1234"/>
          </w:tcPr>
          <w:p>
            <w:r>
              <w:rPr>
                <w:rFonts w:ascii="Calibri" w:hAnsi="Calibri"/>
                <w:sz w:val="22"/>
              </w:rPr>
              <w:t>$13.55B</w:t>
            </w:r>
          </w:p>
        </w:tc>
        <w:tc>
          <w:tcPr>
            <w:tcW w:type="dxa" w:w="1234"/>
          </w:tcPr>
          <w:p>
            <w:r>
              <w:rPr>
                <w:rFonts w:ascii="Calibri" w:hAnsi="Calibri"/>
                <w:sz w:val="22"/>
              </w:rPr>
              <w:t>+3.9%</w:t>
            </w:r>
          </w:p>
        </w:tc>
        <w:tc>
          <w:tcPr>
            <w:tcW w:type="dxa" w:w="1234"/>
          </w:tcPr>
          <w:p>
            <w:r>
              <w:rPr>
                <w:rFonts w:ascii="Calibri" w:hAnsi="Calibri"/>
                <w:sz w:val="22"/>
              </w:rPr>
              <w:t>No Q2-specific guidance</w:t>
            </w:r>
          </w:p>
        </w:tc>
        <w:tc>
          <w:tcPr>
            <w:tcW w:type="dxa" w:w="1234"/>
          </w:tcPr>
          <w:p>
            <w:r>
              <w:rPr>
                <w:rFonts w:ascii="Calibri" w:hAnsi="Calibri"/>
                <w:sz w:val="22"/>
              </w:rPr>
              <w:t>N/A</w:t>
            </w:r>
          </w:p>
        </w:tc>
      </w:tr>
      <w:tr>
        <w:tc>
          <w:tcPr>
            <w:tcW w:type="dxa" w:w="1234"/>
          </w:tcPr>
          <w:p>
            <w:r>
              <w:rPr>
                <w:rFonts w:ascii="Calibri" w:hAnsi="Calibri"/>
                <w:sz w:val="22"/>
              </w:rPr>
              <w:t>Operating EPS (Diluted)</w:t>
            </w:r>
          </w:p>
        </w:tc>
        <w:tc>
          <w:tcPr>
            <w:tcW w:type="dxa" w:w="1234"/>
          </w:tcPr>
          <w:p>
            <w:r>
              <w:rPr>
                <w:rFonts w:ascii="Calibri" w:hAnsi="Calibri"/>
                <w:sz w:val="22"/>
              </w:rPr>
              <w:t>$4.10</w:t>
            </w:r>
          </w:p>
        </w:tc>
        <w:tc>
          <w:tcPr>
            <w:tcW w:type="dxa" w:w="1234"/>
          </w:tcPr>
          <w:p>
            <w:r>
              <w:rPr>
                <w:rFonts w:ascii="Calibri" w:hAnsi="Calibri"/>
                <w:sz w:val="22"/>
              </w:rPr>
              <w:t>$3.74</w:t>
            </w:r>
          </w:p>
        </w:tc>
        <w:tc>
          <w:tcPr>
            <w:tcW w:type="dxa" w:w="1234"/>
          </w:tcPr>
          <w:p>
            <w:r>
              <w:rPr>
                <w:rFonts w:ascii="Calibri" w:hAnsi="Calibri"/>
                <w:sz w:val="22"/>
              </w:rPr>
              <w:t>$3.98</w:t>
            </w:r>
          </w:p>
        </w:tc>
        <w:tc>
          <w:tcPr>
            <w:tcW w:type="dxa" w:w="1234"/>
          </w:tcPr>
          <w:p>
            <w:r>
              <w:rPr>
                <w:rFonts w:ascii="Calibri" w:hAnsi="Calibri"/>
                <w:sz w:val="22"/>
              </w:rPr>
              <w:t>+6.4%</w:t>
            </w:r>
          </w:p>
        </w:tc>
        <w:tc>
          <w:tcPr>
            <w:tcW w:type="dxa" w:w="1234"/>
          </w:tcPr>
          <w:p>
            <w:r>
              <w:rPr>
                <w:rFonts w:ascii="Calibri" w:hAnsi="Calibri"/>
                <w:sz w:val="22"/>
              </w:rPr>
              <w:t>FY: $16.45–$16.55</w:t>
            </w:r>
          </w:p>
        </w:tc>
        <w:tc>
          <w:tcPr>
            <w:tcW w:type="dxa" w:w="1234"/>
          </w:tcPr>
          <w:p>
            <w:r>
              <w:rPr>
                <w:rFonts w:ascii="Calibri" w:hAnsi="Calibri"/>
                <w:sz w:val="22"/>
              </w:rPr>
              <w:t>~+1.3% vs. FY midpoint</w:t>
            </w:r>
          </w:p>
        </w:tc>
      </w:tr>
      <w:tr>
        <w:tc>
          <w:tcPr>
            <w:tcW w:type="dxa" w:w="1234"/>
          </w:tcPr>
          <w:p>
            <w:r>
              <w:rPr>
                <w:rFonts w:ascii="Calibri" w:hAnsi="Calibri"/>
                <w:sz w:val="22"/>
              </w:rPr>
              <w:t>Operating Margin (%)</w:t>
            </w:r>
          </w:p>
        </w:tc>
        <w:tc>
          <w:tcPr>
            <w:tcW w:type="dxa" w:w="1234"/>
          </w:tcPr>
          <w:p>
            <w:r>
              <w:rPr>
                <w:rFonts w:ascii="Calibri" w:hAnsi="Calibri"/>
                <w:sz w:val="22"/>
              </w:rPr>
              <w:t>10.5%</w:t>
            </w:r>
          </w:p>
        </w:tc>
        <w:tc>
          <w:tcPr>
            <w:tcW w:type="dxa" w:w="1234"/>
          </w:tcPr>
          <w:p>
            <w:r>
              <w:rPr>
                <w:rFonts w:ascii="Calibri" w:hAnsi="Calibri"/>
                <w:sz w:val="22"/>
              </w:rPr>
              <w:t>10.0%</w:t>
            </w:r>
          </w:p>
        </w:tc>
        <w:tc>
          <w:tcPr>
            <w:tcW w:type="dxa" w:w="1234"/>
          </w:tcPr>
          <w:p>
            <w:r>
              <w:rPr>
                <w:rFonts w:ascii="Calibri" w:hAnsi="Calibri"/>
                <w:sz w:val="22"/>
              </w:rPr>
              <w:t>10.2%</w:t>
            </w:r>
          </w:p>
        </w:tc>
        <w:tc>
          <w:tcPr>
            <w:tcW w:type="dxa" w:w="1234"/>
          </w:tcPr>
          <w:p>
            <w:r>
              <w:rPr>
                <w:rFonts w:ascii="Calibri" w:hAnsi="Calibri"/>
                <w:sz w:val="22"/>
              </w:rPr>
              <w:t>+20 bps</w:t>
            </w:r>
          </w:p>
        </w:tc>
        <w:tc>
          <w:tcPr>
            <w:tcW w:type="dxa" w:w="1234"/>
          </w:tcPr>
          <w:p>
            <w:r>
              <w:rPr>
                <w:rFonts w:ascii="Calibri" w:hAnsi="Calibri"/>
                <w:sz w:val="22"/>
              </w:rPr>
              <w:t>FY: ~10.4%</w:t>
            </w:r>
          </w:p>
        </w:tc>
        <w:tc>
          <w:tcPr>
            <w:tcW w:type="dxa" w:w="1234"/>
          </w:tcPr>
          <w:p>
            <w:r>
              <w:rPr>
                <w:rFonts w:ascii="Calibri" w:hAnsi="Calibri"/>
                <w:sz w:val="22"/>
              </w:rPr>
              <w:t>~-20 bps vs. FY guide</w:t>
            </w:r>
          </w:p>
        </w:tc>
      </w:tr>
      <w:tr>
        <w:tc>
          <w:tcPr>
            <w:tcW w:type="dxa" w:w="1234"/>
          </w:tcPr>
          <w:p>
            <w:r>
              <w:rPr>
                <w:rFonts w:ascii="Calibri" w:hAnsi="Calibri"/>
                <w:sz w:val="22"/>
              </w:rPr>
              <w:t>Revenue — Aerospace ($B)</w:t>
            </w:r>
          </w:p>
        </w:tc>
        <w:tc>
          <w:tcPr>
            <w:tcW w:type="dxa" w:w="1234"/>
          </w:tcPr>
          <w:p>
            <w:r>
              <w:rPr>
                <w:rFonts w:ascii="Calibri" w:hAnsi="Calibri"/>
                <w:sz w:val="22"/>
              </w:rPr>
              <w:t>$3.28B</w:t>
            </w:r>
          </w:p>
        </w:tc>
        <w:tc>
          <w:tcPr>
            <w:tcW w:type="dxa" w:w="1234"/>
          </w:tcPr>
          <w:p>
            <w:r>
              <w:rPr>
                <w:rFonts w:ascii="Calibri" w:hAnsi="Calibri"/>
                <w:sz w:val="22"/>
              </w:rPr>
              <w:t>$3.06B</w:t>
            </w:r>
          </w:p>
        </w:tc>
        <w:tc>
          <w:tcPr>
            <w:tcW w:type="dxa" w:w="1234"/>
          </w:tcPr>
          <w:p>
            <w:r>
              <w:rPr>
                <w:rFonts w:ascii="Calibri" w:hAnsi="Calibri"/>
                <w:sz w:val="22"/>
              </w:rPr>
              <w:t>$3.31B</w:t>
            </w:r>
          </w:p>
        </w:tc>
        <w:tc>
          <w:tcPr>
            <w:tcW w:type="dxa" w:w="1234"/>
          </w:tcPr>
          <w:p>
            <w:r>
              <w:rPr>
                <w:rFonts w:ascii="Calibri" w:hAnsi="Calibri"/>
                <w:sz w:val="22"/>
              </w:rPr>
              <w:t>+8.2%</w:t>
            </w:r>
          </w:p>
        </w:tc>
        <w:tc>
          <w:tcPr>
            <w:tcW w:type="dxa" w:w="1234"/>
          </w:tcPr>
          <w:p>
            <w:r>
              <w:rPr>
                <w:rFonts w:ascii="Calibri" w:hAnsi="Calibri"/>
                <w:sz w:val="22"/>
              </w:rPr>
              <w:t>Q2 deliveries ~similar to Q1 (38)</w:t>
            </w:r>
          </w:p>
        </w:tc>
        <w:tc>
          <w:tcPr>
            <w:tcW w:type="dxa" w:w="1234"/>
          </w:tcPr>
          <w:p>
            <w:r>
              <w:rPr>
                <w:rFonts w:ascii="Calibri" w:hAnsi="Calibri"/>
                <w:sz w:val="22"/>
              </w:rPr>
              <w:t>N/A</w:t>
            </w:r>
          </w:p>
        </w:tc>
      </w:tr>
      <w:tr>
        <w:tc>
          <w:tcPr>
            <w:tcW w:type="dxa" w:w="1234"/>
          </w:tcPr>
          <w:p>
            <w:r>
              <w:rPr>
                <w:rFonts w:ascii="Calibri" w:hAnsi="Calibri"/>
                <w:sz w:val="22"/>
              </w:rPr>
              <w:t>Op. Income — Aerospace ($M)</w:t>
            </w:r>
          </w:p>
        </w:tc>
        <w:tc>
          <w:tcPr>
            <w:tcW w:type="dxa" w:w="1234"/>
          </w:tcPr>
          <w:p>
            <w:r>
              <w:rPr>
                <w:rFonts w:ascii="Calibri" w:hAnsi="Calibri"/>
                <w:sz w:val="22"/>
              </w:rPr>
              <w:t>$493M (15.0%)</w:t>
            </w:r>
          </w:p>
        </w:tc>
        <w:tc>
          <w:tcPr>
            <w:tcW w:type="dxa" w:w="1234"/>
          </w:tcPr>
          <w:p>
            <w:r>
              <w:rPr>
                <w:rFonts w:ascii="Calibri" w:hAnsi="Calibri"/>
                <w:sz w:val="22"/>
              </w:rPr>
              <w:t>$403M (13.2%)</w:t>
            </w:r>
          </w:p>
        </w:tc>
        <w:tc>
          <w:tcPr>
            <w:tcW w:type="dxa" w:w="1234"/>
          </w:tcPr>
          <w:p>
            <w:r>
              <w:rPr>
                <w:rFonts w:ascii="Calibri" w:hAnsi="Calibri"/>
                <w:sz w:val="22"/>
              </w:rPr>
              <w:t>$458M (13.8%)</w:t>
            </w:r>
          </w:p>
        </w:tc>
        <w:tc>
          <w:tcPr>
            <w:tcW w:type="dxa" w:w="1234"/>
          </w:tcPr>
          <w:p>
            <w:r>
              <w:rPr>
                <w:rFonts w:ascii="Calibri" w:hAnsi="Calibri"/>
                <w:sz w:val="22"/>
              </w:rPr>
              <w:t>+13.6%</w:t>
            </w:r>
          </w:p>
        </w:tc>
        <w:tc>
          <w:tcPr>
            <w:tcW w:type="dxa" w:w="1234"/>
          </w:tcPr>
          <w:p>
            <w:r>
              <w:rPr>
                <w:rFonts w:ascii="Calibri" w:hAnsi="Calibri"/>
                <w:sz w:val="22"/>
              </w:rPr>
              <w:t>Mid-teens trajectory</w:t>
            </w:r>
          </w:p>
        </w:tc>
        <w:tc>
          <w:tcPr>
            <w:tcW w:type="dxa" w:w="1234"/>
          </w:tcPr>
          <w:p>
            <w:r>
              <w:rPr>
                <w:rFonts w:ascii="Calibri" w:hAnsi="Calibri"/>
                <w:sz w:val="22"/>
              </w:rPr>
              <w:t>~-120 bps vs. Q1 actual</w:t>
            </w:r>
          </w:p>
        </w:tc>
      </w:tr>
      <w:tr>
        <w:tc>
          <w:tcPr>
            <w:tcW w:type="dxa" w:w="1234"/>
          </w:tcPr>
          <w:p>
            <w:r>
              <w:rPr>
                <w:rFonts w:ascii="Calibri" w:hAnsi="Calibri"/>
                <w:sz w:val="22"/>
              </w:rPr>
              <w:t>Revenue — Marine Systems ($B)</w:t>
            </w:r>
          </w:p>
        </w:tc>
        <w:tc>
          <w:tcPr>
            <w:tcW w:type="dxa" w:w="1234"/>
          </w:tcPr>
          <w:p>
            <w:r>
              <w:rPr>
                <w:rFonts w:ascii="Calibri" w:hAnsi="Calibri"/>
                <w:sz w:val="22"/>
              </w:rPr>
              <w:t>$4.34B</w:t>
            </w:r>
          </w:p>
        </w:tc>
        <w:tc>
          <w:tcPr>
            <w:tcW w:type="dxa" w:w="1234"/>
          </w:tcPr>
          <w:p>
            <w:r>
              <w:rPr>
                <w:rFonts w:ascii="Calibri" w:hAnsi="Calibri"/>
                <w:sz w:val="22"/>
              </w:rPr>
              <w:t>$4.22B</w:t>
            </w:r>
          </w:p>
        </w:tc>
        <w:tc>
          <w:tcPr>
            <w:tcW w:type="dxa" w:w="1234"/>
          </w:tcPr>
          <w:p>
            <w:r>
              <w:rPr>
                <w:rFonts w:ascii="Calibri" w:hAnsi="Calibri"/>
                <w:sz w:val="22"/>
              </w:rPr>
              <w:t>$4.37B</w:t>
            </w:r>
          </w:p>
        </w:tc>
        <w:tc>
          <w:tcPr>
            <w:tcW w:type="dxa" w:w="1234"/>
          </w:tcPr>
          <w:p>
            <w:r>
              <w:rPr>
                <w:rFonts w:ascii="Calibri" w:hAnsi="Calibri"/>
                <w:sz w:val="22"/>
              </w:rPr>
              <w:t>+3.6%</w:t>
            </w:r>
          </w:p>
        </w:tc>
        <w:tc>
          <w:tcPr>
            <w:tcW w:type="dxa" w:w="1234"/>
          </w:tcPr>
          <w:p>
            <w:r>
              <w:rPr>
                <w:rFonts w:ascii="Calibri" w:hAnsi="Calibri"/>
                <w:sz w:val="22"/>
              </w:rPr>
              <w:t>No Q2-specific guidance</w:t>
            </w:r>
          </w:p>
        </w:tc>
        <w:tc>
          <w:tcPr>
            <w:tcW w:type="dxa" w:w="1234"/>
          </w:tcPr>
          <w:p>
            <w:r>
              <w:rPr>
                <w:rFonts w:ascii="Calibri" w:hAnsi="Calibri"/>
                <w:sz w:val="22"/>
              </w:rPr>
              <w:t>N/A</w:t>
            </w:r>
          </w:p>
        </w:tc>
      </w:tr>
      <w:tr>
        <w:tc>
          <w:tcPr>
            <w:tcW w:type="dxa" w:w="1234"/>
          </w:tcPr>
          <w:p>
            <w:r>
              <w:rPr>
                <w:rFonts w:ascii="Calibri" w:hAnsi="Calibri"/>
                <w:sz w:val="22"/>
              </w:rPr>
              <w:t>Op. Income — Marine ($M)</w:t>
            </w:r>
          </w:p>
        </w:tc>
        <w:tc>
          <w:tcPr>
            <w:tcW w:type="dxa" w:w="1234"/>
          </w:tcPr>
          <w:p>
            <w:r>
              <w:rPr>
                <w:rFonts w:ascii="Calibri" w:hAnsi="Calibri"/>
                <w:sz w:val="22"/>
              </w:rPr>
              <w:t>$316M (7.3%)</w:t>
            </w:r>
          </w:p>
        </w:tc>
        <w:tc>
          <w:tcPr>
            <w:tcW w:type="dxa" w:w="1234"/>
          </w:tcPr>
          <w:p>
            <w:r>
              <w:rPr>
                <w:rFonts w:ascii="Calibri" w:hAnsi="Calibri"/>
                <w:sz w:val="22"/>
              </w:rPr>
              <w:t>$291M (6.9%)</w:t>
            </w:r>
          </w:p>
        </w:tc>
        <w:tc>
          <w:tcPr>
            <w:tcW w:type="dxa" w:w="1234"/>
          </w:tcPr>
          <w:p>
            <w:r>
              <w:rPr>
                <w:rFonts w:ascii="Calibri" w:hAnsi="Calibri"/>
                <w:sz w:val="22"/>
              </w:rPr>
              <w:t>$316M (7.2%)</w:t>
            </w:r>
          </w:p>
        </w:tc>
        <w:tc>
          <w:tcPr>
            <w:tcW w:type="dxa" w:w="1234"/>
          </w:tcPr>
          <w:p>
            <w:r>
              <w:rPr>
                <w:rFonts w:ascii="Calibri" w:hAnsi="Calibri"/>
                <w:sz w:val="22"/>
              </w:rPr>
              <w:t>+8.6%</w:t>
            </w:r>
          </w:p>
        </w:tc>
        <w:tc>
          <w:tcPr>
            <w:tcW w:type="dxa" w:w="1234"/>
          </w:tcPr>
          <w:p>
            <w:r>
              <w:rPr>
                <w:rFonts w:ascii="Calibri" w:hAnsi="Calibri"/>
                <w:sz w:val="22"/>
              </w:rPr>
              <w:t>Continued throughput improvement</w:t>
            </w:r>
          </w:p>
        </w:tc>
        <w:tc>
          <w:tcPr>
            <w:tcW w:type="dxa" w:w="1234"/>
          </w:tcPr>
          <w:p>
            <w:r>
              <w:rPr>
                <w:rFonts w:ascii="Calibri" w:hAnsi="Calibri"/>
                <w:sz w:val="22"/>
              </w:rPr>
              <w:t>N/A</w:t>
            </w:r>
          </w:p>
        </w:tc>
      </w:tr>
      <w:tr>
        <w:tc>
          <w:tcPr>
            <w:tcW w:type="dxa" w:w="1234"/>
          </w:tcPr>
          <w:p>
            <w:r>
              <w:rPr>
                <w:rFonts w:ascii="Calibri" w:hAnsi="Calibri"/>
                <w:sz w:val="22"/>
              </w:rPr>
              <w:t>Revenue — Combat Systems ($B)</w:t>
            </w:r>
          </w:p>
        </w:tc>
        <w:tc>
          <w:tcPr>
            <w:tcW w:type="dxa" w:w="1234"/>
          </w:tcPr>
          <w:p>
            <w:r>
              <w:rPr>
                <w:rFonts w:ascii="Calibri" w:hAnsi="Calibri"/>
                <w:sz w:val="22"/>
              </w:rPr>
              <w:t>$2.28B</w:t>
            </w:r>
          </w:p>
        </w:tc>
        <w:tc>
          <w:tcPr>
            <w:tcW w:type="dxa" w:w="1234"/>
          </w:tcPr>
          <w:p>
            <w:r>
              <w:rPr>
                <w:rFonts w:ascii="Calibri" w:hAnsi="Calibri"/>
                <w:sz w:val="22"/>
              </w:rPr>
              <w:t>$2.28B</w:t>
            </w:r>
          </w:p>
        </w:tc>
        <w:tc>
          <w:tcPr>
            <w:tcW w:type="dxa" w:w="1234"/>
          </w:tcPr>
          <w:p>
            <w:r>
              <w:rPr>
                <w:rFonts w:ascii="Calibri" w:hAnsi="Calibri"/>
                <w:sz w:val="22"/>
              </w:rPr>
              <w:t>$2.36B</w:t>
            </w:r>
          </w:p>
        </w:tc>
        <w:tc>
          <w:tcPr>
            <w:tcW w:type="dxa" w:w="1234"/>
          </w:tcPr>
          <w:p>
            <w:r>
              <w:rPr>
                <w:rFonts w:ascii="Calibri" w:hAnsi="Calibri"/>
                <w:sz w:val="22"/>
              </w:rPr>
              <w:t>+3.5%</w:t>
            </w:r>
          </w:p>
        </w:tc>
        <w:tc>
          <w:tcPr>
            <w:tcW w:type="dxa" w:w="1234"/>
          </w:tcPr>
          <w:p>
            <w:r>
              <w:rPr>
                <w:rFonts w:ascii="Calibri" w:hAnsi="Calibri"/>
                <w:sz w:val="22"/>
              </w:rPr>
              <w:t>No Q2-specific guidance</w:t>
            </w:r>
          </w:p>
        </w:tc>
        <w:tc>
          <w:tcPr>
            <w:tcW w:type="dxa" w:w="1234"/>
          </w:tcPr>
          <w:p>
            <w:r>
              <w:rPr>
                <w:rFonts w:ascii="Calibri" w:hAnsi="Calibri"/>
                <w:sz w:val="22"/>
              </w:rPr>
              <w:t>N/A</w:t>
            </w:r>
          </w:p>
        </w:tc>
      </w:tr>
      <w:tr>
        <w:tc>
          <w:tcPr>
            <w:tcW w:type="dxa" w:w="1234"/>
          </w:tcPr>
          <w:p>
            <w:r>
              <w:rPr>
                <w:rFonts w:ascii="Calibri" w:hAnsi="Calibri"/>
                <w:sz w:val="22"/>
              </w:rPr>
              <w:t>Op. Income — Combat ($M)</w:t>
            </w:r>
          </w:p>
        </w:tc>
        <w:tc>
          <w:tcPr>
            <w:tcW w:type="dxa" w:w="1234"/>
          </w:tcPr>
          <w:p>
            <w:r>
              <w:rPr>
                <w:rFonts w:ascii="Calibri" w:hAnsi="Calibri"/>
                <w:sz w:val="22"/>
              </w:rPr>
              <w:t>$310M (13.6%)</w:t>
            </w:r>
          </w:p>
        </w:tc>
        <w:tc>
          <w:tcPr>
            <w:tcW w:type="dxa" w:w="1234"/>
          </w:tcPr>
          <w:p>
            <w:r>
              <w:rPr>
                <w:rFonts w:ascii="Calibri" w:hAnsi="Calibri"/>
                <w:sz w:val="22"/>
              </w:rPr>
              <w:t>$324M (14.2%)</w:t>
            </w:r>
          </w:p>
        </w:tc>
        <w:tc>
          <w:tcPr>
            <w:tcW w:type="dxa" w:w="1234"/>
          </w:tcPr>
          <w:p>
            <w:r>
              <w:rPr>
                <w:rFonts w:ascii="Calibri" w:hAnsi="Calibri"/>
                <w:sz w:val="22"/>
              </w:rPr>
              <w:t>$327M (13.8%)</w:t>
            </w:r>
          </w:p>
        </w:tc>
        <w:tc>
          <w:tcPr>
            <w:tcW w:type="dxa" w:w="1234"/>
          </w:tcPr>
          <w:p>
            <w:r>
              <w:rPr>
                <w:rFonts w:ascii="Calibri" w:hAnsi="Calibri"/>
                <w:sz w:val="22"/>
              </w:rPr>
              <w:t>+0.9%</w:t>
            </w:r>
          </w:p>
        </w:tc>
        <w:tc>
          <w:tcPr>
            <w:tcW w:type="dxa" w:w="1234"/>
          </w:tcPr>
          <w:p>
            <w:r>
              <w:rPr>
                <w:rFonts w:ascii="Calibri" w:hAnsi="Calibri"/>
                <w:sz w:val="22"/>
              </w:rPr>
              <w:t>Solid margins; munitions growth</w:t>
            </w:r>
          </w:p>
        </w:tc>
        <w:tc>
          <w:tcPr>
            <w:tcW w:type="dxa" w:w="1234"/>
          </w:tcPr>
          <w:p>
            <w:r>
              <w:rPr>
                <w:rFonts w:ascii="Calibri" w:hAnsi="Calibri"/>
                <w:sz w:val="22"/>
              </w:rPr>
              <w:t>N/A</w:t>
            </w:r>
          </w:p>
        </w:tc>
      </w:tr>
      <w:tr>
        <w:tc>
          <w:tcPr>
            <w:tcW w:type="dxa" w:w="1234"/>
          </w:tcPr>
          <w:p>
            <w:r>
              <w:rPr>
                <w:rFonts w:ascii="Calibri" w:hAnsi="Calibri"/>
                <w:sz w:val="22"/>
              </w:rPr>
              <w:t>Total Aircraft Deliveries (#)</w:t>
            </w:r>
          </w:p>
        </w:tc>
        <w:tc>
          <w:tcPr>
            <w:tcW w:type="dxa" w:w="1234"/>
          </w:tcPr>
          <w:p>
            <w:r>
              <w:rPr>
                <w:rFonts w:ascii="Calibri" w:hAnsi="Calibri"/>
                <w:sz w:val="22"/>
              </w:rPr>
              <w:t>38</w:t>
            </w:r>
          </w:p>
        </w:tc>
        <w:tc>
          <w:tcPr>
            <w:tcW w:type="dxa" w:w="1234"/>
          </w:tcPr>
          <w:p>
            <w:r>
              <w:rPr>
                <w:rFonts w:ascii="Calibri" w:hAnsi="Calibri"/>
                <w:sz w:val="22"/>
              </w:rPr>
              <w:t>38</w:t>
            </w:r>
          </w:p>
        </w:tc>
        <w:tc>
          <w:tcPr>
            <w:tcW w:type="dxa" w:w="1234"/>
          </w:tcPr>
          <w:p>
            <w:r>
              <w:rPr>
                <w:rFonts w:ascii="Calibri" w:hAnsi="Calibri"/>
                <w:sz w:val="22"/>
              </w:rPr>
              <w:t>~39</w:t>
            </w:r>
          </w:p>
        </w:tc>
        <w:tc>
          <w:tcPr>
            <w:tcW w:type="dxa" w:w="1234"/>
          </w:tcPr>
          <w:p>
            <w:r>
              <w:rPr>
                <w:rFonts w:ascii="Calibri" w:hAnsi="Calibri"/>
                <w:sz w:val="22"/>
              </w:rPr>
              <w:t>Flat</w:t>
            </w:r>
          </w:p>
        </w:tc>
        <w:tc>
          <w:tcPr>
            <w:tcW w:type="dxa" w:w="1234"/>
          </w:tcPr>
          <w:p>
            <w:r>
              <w:rPr>
                <w:rFonts w:ascii="Calibri" w:hAnsi="Calibri"/>
                <w:sz w:val="22"/>
              </w:rPr>
              <w:t>"Very similar to Q1"</w:t>
            </w:r>
          </w:p>
        </w:tc>
        <w:tc>
          <w:tcPr>
            <w:tcW w:type="dxa" w:w="1234"/>
          </w:tcPr>
          <w:p>
            <w:r>
              <w:rPr>
                <w:rFonts w:ascii="Calibri" w:hAnsi="Calibri"/>
                <w:sz w:val="22"/>
              </w:rPr>
              <w:t>~+3% vs. guidance midpoint</w:t>
            </w:r>
          </w:p>
        </w:tc>
      </w:tr>
      <w:tr>
        <w:tc>
          <w:tcPr>
            <w:tcW w:type="dxa" w:w="1234"/>
          </w:tcPr>
          <w:p>
            <w:r>
              <w:rPr>
                <w:rFonts w:ascii="Calibri" w:hAnsi="Calibri"/>
                <w:sz w:val="22"/>
              </w:rPr>
              <w:t>Free Cash Flow ($B)</w:t>
            </w:r>
          </w:p>
        </w:tc>
        <w:tc>
          <w:tcPr>
            <w:tcW w:type="dxa" w:w="1234"/>
          </w:tcPr>
          <w:p>
            <w:r>
              <w:rPr>
                <w:rFonts w:ascii="Calibri" w:hAnsi="Calibri"/>
                <w:sz w:val="22"/>
              </w:rPr>
              <w:t>$1.95B</w:t>
            </w:r>
          </w:p>
        </w:tc>
        <w:tc>
          <w:tcPr>
            <w:tcW w:type="dxa" w:w="1234"/>
          </w:tcPr>
          <w:p>
            <w:r>
              <w:rPr>
                <w:rFonts w:ascii="Calibri" w:hAnsi="Calibri"/>
                <w:sz w:val="22"/>
              </w:rPr>
              <w:t>$1.40B</w:t>
            </w:r>
          </w:p>
        </w:tc>
        <w:tc>
          <w:tcPr>
            <w:tcW w:type="dxa" w:w="1234"/>
          </w:tcPr>
          <w:p>
            <w:r>
              <w:rPr>
                <w:rFonts w:ascii="Calibri" w:hAnsi="Calibri"/>
                <w:sz w:val="22"/>
              </w:rPr>
              <w:t>$0.65B</w:t>
            </w:r>
          </w:p>
        </w:tc>
        <w:tc>
          <w:tcPr>
            <w:tcW w:type="dxa" w:w="1234"/>
          </w:tcPr>
          <w:p>
            <w:r>
              <w:rPr>
                <w:rFonts w:ascii="Calibri" w:hAnsi="Calibri"/>
                <w:sz w:val="22"/>
              </w:rPr>
              <w:t>N/M (Q1 was peak)</w:t>
            </w:r>
          </w:p>
        </w:tc>
        <w:tc>
          <w:tcPr>
            <w:tcW w:type="dxa" w:w="1234"/>
          </w:tcPr>
          <w:p>
            <w:r>
              <w:rPr>
                <w:rFonts w:ascii="Calibri" w:hAnsi="Calibri"/>
                <w:sz w:val="22"/>
              </w:rPr>
              <w:t>FY: ~100% net income conv.</w:t>
            </w:r>
          </w:p>
        </w:tc>
        <w:tc>
          <w:tcPr>
            <w:tcW w:type="dxa" w:w="1234"/>
          </w:tcPr>
          <w:p>
            <w:r>
              <w:rPr>
                <w:rFonts w:ascii="Calibri" w:hAnsi="Calibri"/>
                <w:sz w:val="22"/>
              </w:rPr>
              <w:t>N/A</w:t>
            </w:r>
          </w:p>
        </w:tc>
      </w:tr>
      <w:tr>
        <w:tc>
          <w:tcPr>
            <w:tcW w:type="dxa" w:w="1234"/>
          </w:tcPr>
          <w:p>
            <w:r>
              <w:rPr>
                <w:rFonts w:ascii="Calibri" w:hAnsi="Calibri"/>
                <w:sz w:val="22"/>
              </w:rPr>
              <w:t>Backlog ($B)</w:t>
            </w:r>
          </w:p>
        </w:tc>
        <w:tc>
          <w:tcPr>
            <w:tcW w:type="dxa" w:w="1234"/>
          </w:tcPr>
          <w:p>
            <w:r>
              <w:rPr>
                <w:rFonts w:ascii="Calibri" w:hAnsi="Calibri"/>
                <w:sz w:val="22"/>
              </w:rPr>
              <w:t>$130.8B</w:t>
            </w:r>
          </w:p>
        </w:tc>
        <w:tc>
          <w:tcPr>
            <w:tcW w:type="dxa" w:w="1234"/>
          </w:tcPr>
          <w:p>
            <w:r>
              <w:rPr>
                <w:rFonts w:ascii="Calibri" w:hAnsi="Calibri"/>
                <w:sz w:val="22"/>
              </w:rPr>
              <w:t>$103.7B</w:t>
            </w:r>
          </w:p>
        </w:tc>
        <w:tc>
          <w:tcPr>
            <w:tcW w:type="dxa" w:w="1234"/>
          </w:tcPr>
          <w:p>
            <w:r>
              <w:rPr>
                <w:rFonts w:ascii="Calibri" w:hAnsi="Calibri"/>
                <w:sz w:val="22"/>
              </w:rPr>
              <w:t>$127.9B</w:t>
            </w:r>
          </w:p>
        </w:tc>
        <w:tc>
          <w:tcPr>
            <w:tcW w:type="dxa" w:w="1234"/>
          </w:tcPr>
          <w:p>
            <w:r>
              <w:rPr>
                <w:rFonts w:ascii="Calibri" w:hAnsi="Calibri"/>
                <w:sz w:val="22"/>
              </w:rPr>
              <w:t>+23.3%</w:t>
            </w:r>
          </w:p>
        </w:tc>
        <w:tc>
          <w:tcPr>
            <w:tcW w:type="dxa" w:w="1234"/>
          </w:tcPr>
          <w:p>
            <w:r>
              <w:rPr>
                <w:rFonts w:ascii="Calibri" w:hAnsi="Calibri"/>
                <w:sz w:val="22"/>
              </w:rPr>
              <w:t>Record levels expected</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28, 2026. Q2 2026 actuals not yet reported. Q1 2026 actuals and Q2 2025 actuals from Visible Alpha.</w:t>
      </w:r>
    </w:p>
    <w:p>
      <w:pPr>
        <w:pStyle w:val="Heading3"/>
      </w:pPr>
      <w:r>
        <w:rPr>
          <w:rFonts w:ascii="Calibri" w:hAnsi="Calibri"/>
          <w:b/>
          <w:color w:val="3B4259"/>
          <w:sz w:val="24"/>
        </w:rPr>
        <w:t>Table 2 — Beat/Miss History (Last 8 Quarters) — Top 2 KPIs: Operating EPS &amp; Aerospace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$4.10</w:t>
            </w:r>
          </w:p>
        </w:tc>
        <w:tc>
          <w:tcPr>
            <w:tcW w:type="dxa" w:w="1440"/>
          </w:tcPr>
          <w:p>
            <w:r>
              <w:rPr>
                <w:rFonts w:ascii="Calibri" w:hAnsi="Calibri"/>
                <w:sz w:val="22"/>
              </w:rPr>
              <w:t>$3.68</w:t>
            </w:r>
          </w:p>
        </w:tc>
        <w:tc>
          <w:tcPr>
            <w:tcW w:type="dxa" w:w="1440"/>
          </w:tcPr>
          <w:p>
            <w:r>
              <w:rPr>
                <w:rFonts w:ascii="Calibri" w:hAnsi="Calibri"/>
                <w:b/>
                <w:color w:val="30A46C"/>
                <w:sz w:val="22"/>
              </w:rPr>
              <w:t>+11.4%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Aero Revenue</w:t>
            </w:r>
          </w:p>
        </w:tc>
        <w:tc>
          <w:tcPr>
            <w:tcW w:type="dxa" w:w="1440"/>
          </w:tcPr>
          <w:p>
            <w:r>
              <w:rPr>
                <w:rFonts w:ascii="Calibri" w:hAnsi="Calibri"/>
                <w:sz w:val="22"/>
              </w:rPr>
              <w:t>$3.28B</w:t>
            </w:r>
          </w:p>
        </w:tc>
        <w:tc>
          <w:tcPr>
            <w:tcW w:type="dxa" w:w="1440"/>
          </w:tcPr>
          <w:p>
            <w:r>
              <w:rPr>
                <w:rFonts w:ascii="Calibri" w:hAnsi="Calibri"/>
                <w:sz w:val="22"/>
              </w:rPr>
              <w:t>$3.15B</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$4.17</w:t>
            </w:r>
          </w:p>
        </w:tc>
        <w:tc>
          <w:tcPr>
            <w:tcW w:type="dxa" w:w="1440"/>
          </w:tcPr>
          <w:p>
            <w:r>
              <w:rPr>
                <w:rFonts w:ascii="Calibri" w:hAnsi="Calibri"/>
                <w:sz w:val="22"/>
              </w:rPr>
              <w:t>$4.11</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Aero Revenue</w:t>
            </w:r>
          </w:p>
        </w:tc>
        <w:tc>
          <w:tcPr>
            <w:tcW w:type="dxa" w:w="1440"/>
          </w:tcPr>
          <w:p>
            <w:r>
              <w:rPr>
                <w:rFonts w:ascii="Calibri" w:hAnsi="Calibri"/>
                <w:sz w:val="22"/>
              </w:rPr>
              <w:t>$3.79B</w:t>
            </w:r>
          </w:p>
        </w:tc>
        <w:tc>
          <w:tcPr>
            <w:tcW w:type="dxa" w:w="1440"/>
          </w:tcPr>
          <w:p>
            <w:r>
              <w:rPr>
                <w:rFonts w:ascii="Calibri" w:hAnsi="Calibri"/>
                <w:sz w:val="22"/>
              </w:rPr>
              <w:t>$3.83B</w:t>
            </w:r>
          </w:p>
        </w:tc>
        <w:tc>
          <w:tcPr>
            <w:tcW w:type="dxa" w:w="1440"/>
          </w:tcPr>
          <w:p>
            <w:r>
              <w:rPr>
                <w:rFonts w:ascii="Calibri" w:hAnsi="Calibri"/>
                <w:b/>
                <w:color w:val="E5484D"/>
                <w:sz w:val="22"/>
              </w:rPr>
              <w:t>-1.0%</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$3.88</w:t>
            </w:r>
          </w:p>
        </w:tc>
        <w:tc>
          <w:tcPr>
            <w:tcW w:type="dxa" w:w="1440"/>
          </w:tcPr>
          <w:p>
            <w:r>
              <w:rPr>
                <w:rFonts w:ascii="Calibri" w:hAnsi="Calibri"/>
                <w:sz w:val="22"/>
              </w:rPr>
              <w:t>$3.72</w:t>
            </w:r>
          </w:p>
        </w:tc>
        <w:tc>
          <w:tcPr>
            <w:tcW w:type="dxa" w:w="1440"/>
          </w:tcPr>
          <w:p>
            <w:r>
              <w:rPr>
                <w:rFonts w:ascii="Calibri" w:hAnsi="Calibri"/>
                <w:b/>
                <w:color w:val="30A46C"/>
                <w:sz w:val="22"/>
              </w:rPr>
              <w:t>+4.4%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Aero Revenue</w:t>
            </w:r>
          </w:p>
        </w:tc>
        <w:tc>
          <w:tcPr>
            <w:tcW w:type="dxa" w:w="1440"/>
          </w:tcPr>
          <w:p>
            <w:r>
              <w:rPr>
                <w:rFonts w:ascii="Calibri" w:hAnsi="Calibri"/>
                <w:sz w:val="22"/>
              </w:rPr>
              <w:t>$3.23B</w:t>
            </w:r>
          </w:p>
        </w:tc>
        <w:tc>
          <w:tcPr>
            <w:tcW w:type="dxa" w:w="1440"/>
          </w:tcPr>
          <w:p>
            <w:r>
              <w:rPr>
                <w:rFonts w:ascii="Calibri" w:hAnsi="Calibri"/>
                <w:sz w:val="22"/>
              </w:rPr>
              <w:t>$3.06B</w:t>
            </w:r>
          </w:p>
        </w:tc>
        <w:tc>
          <w:tcPr>
            <w:tcW w:type="dxa" w:w="1440"/>
          </w:tcPr>
          <w:p>
            <w:r>
              <w:rPr>
                <w:rFonts w:ascii="Calibri" w:hAnsi="Calibri"/>
                <w:b/>
                <w:color w:val="30A46C"/>
                <w:sz w:val="22"/>
              </w:rPr>
              <w:t>+5.7%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$3.74</w:t>
            </w:r>
          </w:p>
        </w:tc>
        <w:tc>
          <w:tcPr>
            <w:tcW w:type="dxa" w:w="1440"/>
          </w:tcPr>
          <w:p>
            <w:r>
              <w:rPr>
                <w:rFonts w:ascii="Calibri" w:hAnsi="Calibri"/>
                <w:sz w:val="22"/>
              </w:rPr>
              <w:t>$3.50</w:t>
            </w:r>
          </w:p>
        </w:tc>
        <w:tc>
          <w:tcPr>
            <w:tcW w:type="dxa" w:w="1440"/>
          </w:tcPr>
          <w:p>
            <w:r>
              <w:rPr>
                <w:rFonts w:ascii="Calibri" w:hAnsi="Calibri"/>
                <w:b/>
                <w:color w:val="30A46C"/>
                <w:sz w:val="22"/>
              </w:rPr>
              <w:t>+6.9%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Aero Revenue</w:t>
            </w:r>
          </w:p>
        </w:tc>
        <w:tc>
          <w:tcPr>
            <w:tcW w:type="dxa" w:w="1440"/>
          </w:tcPr>
          <w:p>
            <w:r>
              <w:rPr>
                <w:rFonts w:ascii="Calibri" w:hAnsi="Calibri"/>
                <w:sz w:val="22"/>
              </w:rPr>
              <w:t>$3.06B</w:t>
            </w:r>
          </w:p>
        </w:tc>
        <w:tc>
          <w:tcPr>
            <w:tcW w:type="dxa" w:w="1440"/>
          </w:tcPr>
          <w:p>
            <w:r>
              <w:rPr>
                <w:rFonts w:ascii="Calibri" w:hAnsi="Calibri"/>
                <w:sz w:val="22"/>
              </w:rPr>
              <w:t>$3.06B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$3.66</w:t>
            </w:r>
          </w:p>
        </w:tc>
        <w:tc>
          <w:tcPr>
            <w:tcW w:type="dxa" w:w="1440"/>
          </w:tcPr>
          <w:p>
            <w:r>
              <w:rPr>
                <w:rFonts w:ascii="Calibri" w:hAnsi="Calibri"/>
                <w:sz w:val="22"/>
              </w:rPr>
              <w:t>$3.49</w:t>
            </w:r>
          </w:p>
        </w:tc>
        <w:tc>
          <w:tcPr>
            <w:tcW w:type="dxa" w:w="1440"/>
          </w:tcPr>
          <w:p>
            <w:r>
              <w:rPr>
                <w:rFonts w:ascii="Calibri" w:hAnsi="Calibri"/>
                <w:b/>
                <w:color w:val="30A46C"/>
                <w:sz w:val="22"/>
              </w:rPr>
              <w:t>+4.9%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Aero Revenue</w:t>
            </w:r>
          </w:p>
        </w:tc>
        <w:tc>
          <w:tcPr>
            <w:tcW w:type="dxa" w:w="1440"/>
          </w:tcPr>
          <w:p>
            <w:r>
              <w:rPr>
                <w:rFonts w:ascii="Calibri" w:hAnsi="Calibri"/>
                <w:sz w:val="22"/>
              </w:rPr>
              <w:t>$3.03B</w:t>
            </w:r>
          </w:p>
        </w:tc>
        <w:tc>
          <w:tcPr>
            <w:tcW w:type="dxa" w:w="1440"/>
          </w:tcPr>
          <w:p>
            <w:r>
              <w:rPr>
                <w:rFonts w:ascii="Calibri" w:hAnsi="Calibri"/>
                <w:sz w:val="22"/>
              </w:rPr>
              <w:t>$3.02B</w:t>
            </w:r>
          </w:p>
        </w:tc>
        <w:tc>
          <w:tcPr>
            <w:tcW w:type="dxa" w:w="1440"/>
          </w:tcPr>
          <w:p>
            <w:r>
              <w:rPr>
                <w:rFonts w:ascii="Calibri" w:hAnsi="Calibri"/>
                <w:sz w:val="22"/>
              </w:rPr>
              <w:t>+0.3%</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$4.15</w:t>
            </w:r>
          </w:p>
        </w:tc>
        <w:tc>
          <w:tcPr>
            <w:tcW w:type="dxa" w:w="1440"/>
          </w:tcPr>
          <w:p>
            <w:r>
              <w:rPr>
                <w:rFonts w:ascii="Calibri" w:hAnsi="Calibri"/>
                <w:sz w:val="22"/>
              </w:rPr>
              <w:t>$4.00</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Aero Revenue</w:t>
            </w:r>
          </w:p>
        </w:tc>
        <w:tc>
          <w:tcPr>
            <w:tcW w:type="dxa" w:w="1440"/>
          </w:tcPr>
          <w:p>
            <w:r>
              <w:rPr>
                <w:rFonts w:ascii="Calibri" w:hAnsi="Calibri"/>
                <w:sz w:val="22"/>
              </w:rPr>
              <w:t>$3.74B</w:t>
            </w:r>
          </w:p>
        </w:tc>
        <w:tc>
          <w:tcPr>
            <w:tcW w:type="dxa" w:w="1440"/>
          </w:tcPr>
          <w:p>
            <w:r>
              <w:rPr>
                <w:rFonts w:ascii="Calibri" w:hAnsi="Calibri"/>
                <w:sz w:val="22"/>
              </w:rPr>
              <w:t>$3.96B</w:t>
            </w:r>
          </w:p>
        </w:tc>
        <w:tc>
          <w:tcPr>
            <w:tcW w:type="dxa" w:w="1440"/>
          </w:tcPr>
          <w:p>
            <w:r>
              <w:rPr>
                <w:rFonts w:ascii="Calibri" w:hAnsi="Calibri"/>
                <w:b/>
                <w:color w:val="E5484D"/>
                <w:sz w:val="22"/>
              </w:rPr>
              <w:t>-5.6%</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$3.35</w:t>
            </w:r>
          </w:p>
        </w:tc>
        <w:tc>
          <w:tcPr>
            <w:tcW w:type="dxa" w:w="1440"/>
          </w:tcPr>
          <w:p>
            <w:r>
              <w:rPr>
                <w:rFonts w:ascii="Calibri" w:hAnsi="Calibri"/>
                <w:sz w:val="22"/>
              </w:rPr>
              <w:t>$3.47</w:t>
            </w:r>
          </w:p>
        </w:tc>
        <w:tc>
          <w:tcPr>
            <w:tcW w:type="dxa" w:w="1440"/>
          </w:tcPr>
          <w:p>
            <w:r>
              <w:rPr>
                <w:rFonts w:ascii="Calibri" w:hAnsi="Calibri"/>
                <w:b/>
                <w:color w:val="E5484D"/>
                <w:sz w:val="22"/>
              </w:rPr>
              <w:t>-3.5%</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Aero Revenue</w:t>
            </w:r>
          </w:p>
        </w:tc>
        <w:tc>
          <w:tcPr>
            <w:tcW w:type="dxa" w:w="1440"/>
          </w:tcPr>
          <w:p>
            <w:r>
              <w:rPr>
                <w:rFonts w:ascii="Calibri" w:hAnsi="Calibri"/>
                <w:sz w:val="22"/>
              </w:rPr>
              <w:t>$2.48B</w:t>
            </w:r>
          </w:p>
        </w:tc>
        <w:tc>
          <w:tcPr>
            <w:tcW w:type="dxa" w:w="1440"/>
          </w:tcPr>
          <w:p>
            <w:r>
              <w:rPr>
                <w:rFonts w:ascii="Calibri" w:hAnsi="Calibri"/>
                <w:sz w:val="22"/>
              </w:rPr>
              <w:t>$2.95B</w:t>
            </w:r>
          </w:p>
        </w:tc>
        <w:tc>
          <w:tcPr>
            <w:tcW w:type="dxa" w:w="1440"/>
          </w:tcPr>
          <w:p>
            <w:r>
              <w:rPr>
                <w:rFonts w:ascii="Calibri" w:hAnsi="Calibri"/>
                <w:b/>
                <w:color w:val="E5484D"/>
                <w:sz w:val="22"/>
              </w:rPr>
              <w:t>-15.9%</w:t>
            </w:r>
          </w:p>
        </w:tc>
        <w:tc>
          <w:tcPr>
            <w:tcW w:type="dxa" w:w="1440"/>
          </w:tcPr>
          <w:p>
            <w:r>
              <w:rPr>
                <w:rFonts w:ascii="Calibri" w:hAnsi="Calibri"/>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Pattern: GD has beaten Operating EPS in 6 of the last 8 quarters, with the two misses concentrated in Q3–Q4 2024 when Aerospace deliveries were disrupted; the last four quarters show a consistent beat pattern as the G700/G800 ramp normalized.</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FY2026 EPS guidance at Q1 earnings (April 29) from $16.10–$16.20 to $16.45–$16.55 — an unusually early revision that signals high confidence; </w:t>
      </w:r>
      <w:r>
        <w:rPr>
          <w:rFonts w:ascii="Calibri" w:hAnsi="Calibri"/>
          <w:b/>
          <w:color w:val="525866"/>
          <w:sz w:val="22"/>
        </w:rPr>
        <w:t>no further guidance changes have been issued since</w:t>
      </w:r>
      <w:r>
        <w:rPr>
          <w:rFonts w:ascii="Calibri" w:hAnsi="Calibri"/>
          <w:color w:val="525866"/>
          <w:sz w:val="22"/>
        </w:rPr>
        <w:t>, and tone remains constructive heading into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Jan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EPS</w:t>
            </w:r>
          </w:p>
        </w:tc>
        <w:tc>
          <w:tcPr>
            <w:tcW w:type="dxa" w:w="1728"/>
          </w:tcPr>
          <w:p>
            <w:r>
              <w:rPr>
                <w:rFonts w:ascii="Calibri" w:hAnsi="Calibri"/>
                <w:sz w:val="22"/>
              </w:rPr>
              <w:t>$16.10–$16.20</w:t>
            </w:r>
          </w:p>
        </w:tc>
        <w:tc>
          <w:tcPr>
            <w:tcW w:type="dxa" w:w="1728"/>
          </w:tcPr>
          <w:p>
            <w:r>
              <w:rPr>
                <w:rFonts w:ascii="Calibri" w:hAnsi="Calibri"/>
                <w:sz w:val="22"/>
              </w:rPr>
              <w:t>$16.45–$16.55</w:t>
            </w:r>
          </w:p>
        </w:tc>
        <w:tc>
          <w:tcPr>
            <w:tcW w:type="dxa" w:w="1728"/>
          </w:tcPr>
          <w:p>
            <w:r>
              <w:rPr>
                <w:rFonts w:ascii="Calibri" w:hAnsi="Calibri"/>
                <w:sz w:val="22"/>
              </w:rPr>
              <w:t>$16.77</w:t>
            </w:r>
          </w:p>
        </w:tc>
        <w:tc>
          <w:tcPr>
            <w:tcW w:type="dxa" w:w="1728"/>
          </w:tcPr>
          <w:p>
            <w:r>
              <w:rPr>
                <w:rFonts w:ascii="Calibri" w:hAnsi="Calibri"/>
                <w:sz w:val="22"/>
              </w:rPr>
              <w:t>↑ Raised at Q1 2026 earnings (Apr 29); broad-based beat across Aerospace, Marine, and Technologies drove the raise; consensus sits above the raised range</w:t>
            </w:r>
          </w:p>
        </w:tc>
      </w:tr>
      <w:tr>
        <w:tc>
          <w:tcPr>
            <w:tcW w:type="dxa" w:w="1728"/>
          </w:tcPr>
          <w:p>
            <w:r>
              <w:rPr>
                <w:rFonts w:ascii="Calibri" w:hAnsi="Calibri"/>
                <w:sz w:val="22"/>
              </w:rPr>
              <w:t>FY2026 Free Cash Flow Conversion</w:t>
            </w:r>
          </w:p>
        </w:tc>
        <w:tc>
          <w:tcPr>
            <w:tcW w:type="dxa" w:w="1728"/>
          </w:tcPr>
          <w:p>
            <w:r>
              <w:rPr>
                <w:rFonts w:ascii="Calibri" w:hAnsi="Calibri"/>
                <w:sz w:val="22"/>
              </w:rPr>
              <w:t>~100% of net income</w:t>
            </w:r>
          </w:p>
        </w:tc>
        <w:tc>
          <w:tcPr>
            <w:tcW w:type="dxa" w:w="1728"/>
          </w:tcPr>
          <w:p>
            <w:r>
              <w:rPr>
                <w:rFonts w:ascii="Calibri" w:hAnsi="Calibri"/>
                <w:sz w:val="22"/>
              </w:rPr>
              <w:t>≥100% (evaluating upside)</w:t>
            </w:r>
          </w:p>
        </w:tc>
        <w:tc>
          <w:tcPr>
            <w:tcW w:type="dxa" w:w="1728"/>
          </w:tcPr>
          <w:p>
            <w:r>
              <w:rPr>
                <w:rFonts w:ascii="Calibri" w:hAnsi="Calibri"/>
                <w:sz w:val="22"/>
              </w:rPr>
              <w:t>~100%+</w:t>
            </w:r>
          </w:p>
        </w:tc>
        <w:tc>
          <w:tcPr>
            <w:tcW w:type="dxa" w:w="1728"/>
          </w:tcPr>
          <w:p>
            <w:r>
              <w:rPr>
                <w:rFonts w:ascii="Calibri" w:hAnsi="Calibri"/>
                <w:sz w:val="22"/>
              </w:rPr>
              <w:t>↑ Tone upgraded at Q1 earnings; Q1 FCF of $1.95B was the largest quarter of the year; management evaluating whether full-year can exceed 100%</w:t>
            </w:r>
          </w:p>
        </w:tc>
      </w:tr>
      <w:tr>
        <w:tc>
          <w:tcPr>
            <w:tcW w:type="dxa" w:w="1728"/>
          </w:tcPr>
          <w:p>
            <w:r>
              <w:rPr>
                <w:rFonts w:ascii="Calibri" w:hAnsi="Calibri"/>
                <w:sz w:val="22"/>
              </w:rPr>
              <w:t>FY2026 CapEx (% of Sales)</w:t>
            </w:r>
          </w:p>
        </w:tc>
        <w:tc>
          <w:tcPr>
            <w:tcW w:type="dxa" w:w="1728"/>
          </w:tcPr>
          <w:p>
            <w:r>
              <w:rPr>
                <w:rFonts w:ascii="Calibri" w:hAnsi="Calibri"/>
                <w:sz w:val="22"/>
              </w:rPr>
              <w:t>3.5%–4.0% of sales</w:t>
            </w:r>
          </w:p>
        </w:tc>
        <w:tc>
          <w:tcPr>
            <w:tcW w:type="dxa" w:w="1728"/>
          </w:tcPr>
          <w:p>
            <w:r>
              <w:rPr>
                <w:rFonts w:ascii="Calibri" w:hAnsi="Calibri"/>
                <w:sz w:val="22"/>
              </w:rPr>
              <w:t>—</w:t>
            </w:r>
          </w:p>
        </w:tc>
        <w:tc>
          <w:tcPr>
            <w:tcW w:type="dxa" w:w="1728"/>
          </w:tcPr>
          <w:p>
            <w:r>
              <w:rPr>
                <w:rFonts w:ascii="Calibri" w:hAnsi="Calibri"/>
                <w:sz w:val="22"/>
              </w:rPr>
              <w:t>~3.5%–4.0%</w:t>
            </w:r>
          </w:p>
        </w:tc>
        <w:tc>
          <w:tcPr>
            <w:tcW w:type="dxa" w:w="1728"/>
          </w:tcPr>
          <w:p>
            <w:r>
              <w:rPr>
                <w:rFonts w:ascii="Calibri" w:hAnsi="Calibri"/>
                <w:sz w:val="22"/>
              </w:rPr>
              <w:t>Unchanged; CapEx expected to grow each quarter as shipyard investments accelerate</w:t>
            </w:r>
          </w:p>
        </w:tc>
      </w:tr>
      <w:tr>
        <w:tc>
          <w:tcPr>
            <w:tcW w:type="dxa" w:w="1728"/>
          </w:tcPr>
          <w:p>
            <w:r>
              <w:rPr>
                <w:rFonts w:ascii="Calibri" w:hAnsi="Calibri"/>
                <w:sz w:val="22"/>
              </w:rPr>
              <w:t>FY2026 Effective Tax Rate</w:t>
            </w:r>
          </w:p>
        </w:tc>
        <w:tc>
          <w:tcPr>
            <w:tcW w:type="dxa" w:w="1728"/>
          </w:tcPr>
          <w:p>
            <w:r>
              <w:rPr>
                <w:rFonts w:ascii="Calibri" w:hAnsi="Calibri"/>
                <w:sz w:val="22"/>
              </w:rPr>
              <w:t>~17.5%</w:t>
            </w:r>
          </w:p>
        </w:tc>
        <w:tc>
          <w:tcPr>
            <w:tcW w:type="dxa" w:w="1728"/>
          </w:tcPr>
          <w:p>
            <w:r>
              <w:rPr>
                <w:rFonts w:ascii="Calibri" w:hAnsi="Calibri"/>
                <w:sz w:val="22"/>
              </w:rPr>
              <w:t>—</w:t>
            </w:r>
          </w:p>
        </w:tc>
        <w:tc>
          <w:tcPr>
            <w:tcW w:type="dxa" w:w="1728"/>
          </w:tcPr>
          <w:p>
            <w:r>
              <w:rPr>
                <w:rFonts w:ascii="Calibri" w:hAnsi="Calibri"/>
                <w:sz w:val="22"/>
              </w:rPr>
              <w:t>~17.5%</w:t>
            </w:r>
          </w:p>
        </w:tc>
        <w:tc>
          <w:tcPr>
            <w:tcW w:type="dxa" w:w="1728"/>
          </w:tcPr>
          <w:p>
            <w:r>
              <w:rPr>
                <w:rFonts w:ascii="Calibri" w:hAnsi="Calibri"/>
                <w:sz w:val="22"/>
              </w:rPr>
              <w:t>Unchanged; Q1 actual of 17.8% consistent with full-year guide</w:t>
            </w:r>
          </w:p>
        </w:tc>
      </w:tr>
      <w:tr>
        <w:tc>
          <w:tcPr>
            <w:tcW w:type="dxa" w:w="1728"/>
          </w:tcPr>
          <w:p>
            <w:r>
              <w:rPr>
                <w:rFonts w:ascii="Calibri" w:hAnsi="Calibri"/>
                <w:sz w:val="22"/>
              </w:rPr>
              <w:t>Aerospace Deliveries (Q2 cadence)</w:t>
            </w:r>
          </w:p>
        </w:tc>
        <w:tc>
          <w:tcPr>
            <w:tcW w:type="dxa" w:w="1728"/>
          </w:tcPr>
          <w:p>
            <w:r>
              <w:rPr>
                <w:rFonts w:ascii="Calibri" w:hAnsi="Calibri"/>
                <w:sz w:val="22"/>
              </w:rPr>
              <w:t>N/A (no Q2-specific guide at Jan earnings)</w:t>
            </w:r>
          </w:p>
        </w:tc>
        <w:tc>
          <w:tcPr>
            <w:tcW w:type="dxa" w:w="1728"/>
          </w:tcPr>
          <w:p>
            <w:r>
              <w:rPr>
                <w:rFonts w:ascii="Calibri" w:hAnsi="Calibri"/>
                <w:sz w:val="22"/>
              </w:rPr>
              <w:t>"Very similar to Q1" (~38 units)</w:t>
            </w:r>
          </w:p>
        </w:tc>
        <w:tc>
          <w:tcPr>
            <w:tcW w:type="dxa" w:w="1728"/>
          </w:tcPr>
          <w:p>
            <w:r>
              <w:rPr>
                <w:rFonts w:ascii="Calibri" w:hAnsi="Calibri"/>
                <w:sz w:val="22"/>
              </w:rPr>
              <w:t>~39 units</w:t>
            </w:r>
          </w:p>
        </w:tc>
        <w:tc>
          <w:tcPr>
            <w:tcW w:type="dxa" w:w="1728"/>
          </w:tcPr>
          <w:p>
            <w:r>
              <w:rPr>
                <w:rFonts w:ascii="Calibri" w:hAnsi="Calibri"/>
                <w:sz w:val="22"/>
              </w:rPr>
              <w:t>Guidance provided at Q1 earnings (Apr 29); Q3/Q4 expected to be highest delivery quarters</w:t>
            </w:r>
          </w:p>
        </w:tc>
      </w:tr>
      <w:tr>
        <w:tc>
          <w:tcPr>
            <w:tcW w:type="dxa" w:w="1728"/>
          </w:tcPr>
          <w:p>
            <w:r>
              <w:rPr>
                <w:rFonts w:ascii="Calibri" w:hAnsi="Calibri"/>
                <w:sz w:val="22"/>
              </w:rPr>
              <w:t>Aerospace Operating Margin</w:t>
            </w:r>
          </w:p>
        </w:tc>
        <w:tc>
          <w:tcPr>
            <w:tcW w:type="dxa" w:w="1728"/>
          </w:tcPr>
          <w:p>
            <w:r>
              <w:rPr>
                <w:rFonts w:ascii="Calibri" w:hAnsi="Calibri"/>
                <w:sz w:val="22"/>
              </w:rPr>
              <w:t>Mid-to-high teens by 2027</w:t>
            </w:r>
          </w:p>
        </w:tc>
        <w:tc>
          <w:tcPr>
            <w:tcW w:type="dxa" w:w="1728"/>
          </w:tcPr>
          <w:p>
            <w:r>
              <w:rPr>
                <w:rFonts w:ascii="Calibri" w:hAnsi="Calibri"/>
                <w:sz w:val="22"/>
              </w:rPr>
              <w:t>Mid-teens achieved in Q1 2026 (15.0%)</w:t>
            </w:r>
          </w:p>
        </w:tc>
        <w:tc>
          <w:tcPr>
            <w:tcW w:type="dxa" w:w="1728"/>
          </w:tcPr>
          <w:p>
            <w:r>
              <w:rPr>
                <w:rFonts w:ascii="Calibri" w:hAnsi="Calibri"/>
                <w:sz w:val="22"/>
              </w:rPr>
              <w:t>~13.8% for Q2</w:t>
            </w:r>
          </w:p>
        </w:tc>
        <w:tc>
          <w:tcPr>
            <w:tcW w:type="dxa" w:w="1728"/>
          </w:tcPr>
          <w:p>
            <w:r>
              <w:rPr>
                <w:rFonts w:ascii="Calibri" w:hAnsi="Calibri"/>
                <w:sz w:val="22"/>
              </w:rPr>
              <w:t>Tone upgraded; G800 margins already exceed G650; improvements described as "durable"; Q2 expected slightly below Q1 on mix</w:t>
            </w:r>
          </w:p>
        </w:tc>
      </w:tr>
      <w:tr>
        <w:tc>
          <w:tcPr>
            <w:tcW w:type="dxa" w:w="1728"/>
          </w:tcPr>
          <w:p>
            <w:r>
              <w:rPr>
                <w:rFonts w:ascii="Calibri" w:hAnsi="Calibri"/>
                <w:sz w:val="22"/>
              </w:rPr>
              <w:t>Share Repurchases</w:t>
            </w:r>
          </w:p>
        </w:tc>
        <w:tc>
          <w:tcPr>
            <w:tcW w:type="dxa" w:w="1728"/>
          </w:tcPr>
          <w:p>
            <w:r>
              <w:rPr>
                <w:rFonts w:ascii="Calibri" w:hAnsi="Calibri"/>
                <w:sz w:val="22"/>
              </w:rPr>
              <w:t>Dilution coverage only</w:t>
            </w:r>
          </w:p>
        </w:tc>
        <w:tc>
          <w:tcPr>
            <w:tcW w:type="dxa" w:w="1728"/>
          </w:tcPr>
          <w:p>
            <w:r>
              <w:rPr>
                <w:rFonts w:ascii="Calibri" w:hAnsi="Calibri"/>
                <w:sz w:val="22"/>
              </w:rPr>
              <w:t>—</w:t>
            </w:r>
          </w:p>
        </w:tc>
        <w:tc>
          <w:tcPr>
            <w:tcW w:type="dxa" w:w="1728"/>
          </w:tcPr>
          <w:p>
            <w:r>
              <w:rPr>
                <w:rFonts w:ascii="Calibri" w:hAnsi="Calibri"/>
                <w:sz w:val="22"/>
              </w:rPr>
              <w:t>Dilution coverage only</w:t>
            </w:r>
          </w:p>
        </w:tc>
        <w:tc>
          <w:tcPr>
            <w:tcW w:type="dxa" w:w="1728"/>
          </w:tcPr>
          <w:p>
            <w:r>
              <w:rPr>
                <w:rFonts w:ascii="Calibri" w:hAnsi="Calibri"/>
                <w:sz w:val="22"/>
              </w:rPr>
              <w:t>Deliberately cautious given political sensitivity; dividend (29 consecutive years of increases) remains primary capital return vehicle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tracking the guidance raise; </w:t>
      </w:r>
      <w:r>
        <w:rPr>
          <w:rFonts w:ascii="Calibri" w:hAnsi="Calibri"/>
          <w:b/>
          <w:color w:val="525866"/>
          <w:sz w:val="22"/>
        </w:rPr>
        <w:t>consensus for FY2026 EPS ($16.77) now sits above the raised guidance range ($16.45–$16.55)</w:t>
      </w:r>
      <w:r>
        <w:rPr>
          <w:rFonts w:ascii="Calibri" w:hAnsi="Calibri"/>
          <w:color w:val="525866"/>
          <w:sz w:val="22"/>
        </w:rPr>
        <w:t>, suggesting the Street is already pricing in another beat — a dynamic that raises the bar for a positive guidance reaction on Q2.</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Current Guidance</w:t>
            </w:r>
          </w:p>
        </w:tc>
      </w:tr>
      <w:tr>
        <w:tc>
          <w:tcPr>
            <w:tcW w:type="dxa" w:w="1080"/>
          </w:tcPr>
          <w:p>
            <w:r>
              <w:rPr>
                <w:rFonts w:ascii="Calibri" w:hAnsi="Calibri"/>
                <w:sz w:val="22"/>
              </w:rPr>
              <w:t>Op. EPS — Q2 2026</w:t>
            </w:r>
          </w:p>
        </w:tc>
        <w:tc>
          <w:tcPr>
            <w:tcW w:type="dxa" w:w="1080"/>
          </w:tcPr>
          <w:p>
            <w:r>
              <w:rPr>
                <w:rFonts w:ascii="Calibri" w:hAnsi="Calibri"/>
                <w:sz w:val="22"/>
              </w:rPr>
              <w:t>$3.93</w:t>
            </w:r>
          </w:p>
        </w:tc>
        <w:tc>
          <w:tcPr>
            <w:tcW w:type="dxa" w:w="1080"/>
          </w:tcPr>
          <w:p>
            <w:r>
              <w:rPr>
                <w:rFonts w:ascii="Calibri" w:hAnsi="Calibri"/>
                <w:sz w:val="22"/>
              </w:rPr>
              <w:t>$3.98</w:t>
            </w:r>
          </w:p>
        </w:tc>
        <w:tc>
          <w:tcPr>
            <w:tcW w:type="dxa" w:w="1080"/>
          </w:tcPr>
          <w:p>
            <w:r>
              <w:rPr>
                <w:rFonts w:ascii="Calibri" w:hAnsi="Calibri"/>
                <w:sz w:val="22"/>
              </w:rPr>
              <w:t>+1.3%</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$16.71</w:t>
            </w:r>
          </w:p>
        </w:tc>
        <w:tc>
          <w:tcPr>
            <w:tcW w:type="dxa" w:w="1080"/>
          </w:tcPr>
          <w:p>
            <w:r>
              <w:rPr>
                <w:rFonts w:ascii="Calibri" w:hAnsi="Calibri"/>
                <w:sz w:val="22"/>
              </w:rPr>
              <w:t>$16.77</w:t>
            </w:r>
          </w:p>
        </w:tc>
        <w:tc>
          <w:tcPr>
            <w:tcW w:type="dxa" w:w="1080"/>
          </w:tcPr>
          <w:p>
            <w:r>
              <w:rPr>
                <w:rFonts w:ascii="Calibri" w:hAnsi="Calibri"/>
                <w:sz w:val="22"/>
              </w:rPr>
              <w:t>+0.4%</w:t>
            </w:r>
          </w:p>
        </w:tc>
        <w:tc>
          <w:tcPr>
            <w:tcW w:type="dxa" w:w="1080"/>
          </w:tcPr>
          <w:p>
            <w:r>
              <w:rPr>
                <w:rFonts w:ascii="Calibri" w:hAnsi="Calibri"/>
                <w:sz w:val="22"/>
              </w:rPr>
              <w:t>$16.10–$16.20</w:t>
            </w:r>
          </w:p>
        </w:tc>
        <w:tc>
          <w:tcPr>
            <w:tcW w:type="dxa" w:w="1080"/>
          </w:tcPr>
          <w:p>
            <w:r>
              <w:rPr>
                <w:rFonts w:ascii="Calibri" w:hAnsi="Calibri"/>
                <w:sz w:val="22"/>
              </w:rPr>
              <w:t>$16.45–$16.55</w:t>
            </w:r>
          </w:p>
        </w:tc>
        <w:tc>
          <w:tcPr>
            <w:tcW w:type="dxa" w:w="1080"/>
          </w:tcPr>
          <w:p>
            <w:r>
              <w:rPr>
                <w:rFonts w:ascii="Calibri" w:hAnsi="Calibri"/>
                <w:sz w:val="22"/>
              </w:rPr>
              <w:t>+$0.35 (+2.2%)</w:t>
            </w:r>
          </w:p>
        </w:tc>
        <w:tc>
          <w:tcPr>
            <w:tcW w:type="dxa" w:w="1080"/>
          </w:tcPr>
          <w:p>
            <w:r>
              <w:rPr>
                <w:rFonts w:ascii="Calibri" w:hAnsi="Calibri"/>
                <w:sz w:val="22"/>
              </w:rPr>
              <w:t>+$0.27 above midpoint (+1.6%)</w:t>
            </w:r>
          </w:p>
        </w:tc>
      </w:tr>
      <w:tr>
        <w:tc>
          <w:tcPr>
            <w:tcW w:type="dxa" w:w="1080"/>
          </w:tcPr>
          <w:p>
            <w:r>
              <w:rPr>
                <w:rFonts w:ascii="Calibri" w:hAnsi="Calibri"/>
                <w:sz w:val="22"/>
              </w:rPr>
              <w:t>Revenue — Q2 2026 ($B)</w:t>
            </w:r>
          </w:p>
        </w:tc>
        <w:tc>
          <w:tcPr>
            <w:tcW w:type="dxa" w:w="1080"/>
          </w:tcPr>
          <w:p>
            <w:r>
              <w:rPr>
                <w:rFonts w:ascii="Calibri" w:hAnsi="Calibri"/>
                <w:sz w:val="22"/>
              </w:rPr>
              <w:t>$13.48B</w:t>
            </w:r>
          </w:p>
        </w:tc>
        <w:tc>
          <w:tcPr>
            <w:tcW w:type="dxa" w:w="1080"/>
          </w:tcPr>
          <w:p>
            <w:r>
              <w:rPr>
                <w:rFonts w:ascii="Calibri" w:hAnsi="Calibri"/>
                <w:sz w:val="22"/>
              </w:rPr>
              <w:t>$13.55B</w:t>
            </w:r>
          </w:p>
        </w:tc>
        <w:tc>
          <w:tcPr>
            <w:tcW w:type="dxa" w:w="1080"/>
          </w:tcPr>
          <w:p>
            <w:r>
              <w:rPr>
                <w:rFonts w:ascii="Calibri" w:hAnsi="Calibri"/>
                <w:sz w:val="22"/>
              </w:rPr>
              <w:t>+0.5%</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 ($B)</w:t>
            </w:r>
          </w:p>
        </w:tc>
        <w:tc>
          <w:tcPr>
            <w:tcW w:type="dxa" w:w="1080"/>
          </w:tcPr>
          <w:p>
            <w:r>
              <w:rPr>
                <w:rFonts w:ascii="Calibri" w:hAnsi="Calibri"/>
                <w:sz w:val="22"/>
              </w:rPr>
              <w:t>$55.39B</w:t>
            </w:r>
          </w:p>
        </w:tc>
        <w:tc>
          <w:tcPr>
            <w:tcW w:type="dxa" w:w="1080"/>
          </w:tcPr>
          <w:p>
            <w:r>
              <w:rPr>
                <w:rFonts w:ascii="Calibri" w:hAnsi="Calibri"/>
                <w:sz w:val="22"/>
              </w:rPr>
              <w:t>$55.48B</w:t>
            </w:r>
          </w:p>
        </w:tc>
        <w:tc>
          <w:tcPr>
            <w:tcW w:type="dxa" w:w="1080"/>
          </w:tcPr>
          <w:p>
            <w:r>
              <w:rPr>
                <w:rFonts w:ascii="Calibri" w:hAnsi="Calibri"/>
                <w:sz w:val="22"/>
              </w:rPr>
              <w:t>+0.2%</w:t>
            </w:r>
          </w:p>
        </w:tc>
        <w:tc>
          <w:tcPr>
            <w:tcW w:type="dxa" w:w="1080"/>
          </w:tcPr>
          <w:p>
            <w:r>
              <w:rPr>
                <w:rFonts w:ascii="Calibri" w:hAnsi="Calibri"/>
                <w:sz w:val="22"/>
              </w:rPr>
              <w:t>No FY revenue guide</w:t>
            </w:r>
          </w:p>
        </w:tc>
        <w:tc>
          <w:tcPr>
            <w:tcW w:type="dxa" w:w="1080"/>
          </w:tcPr>
          <w:p>
            <w:r>
              <w:rPr>
                <w:rFonts w:ascii="Calibri" w:hAnsi="Calibri"/>
                <w:sz w:val="22"/>
              </w:rPr>
              <w:t>No FY revenue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Aero Revenue — Q2 2026 ($B)</w:t>
            </w:r>
          </w:p>
        </w:tc>
        <w:tc>
          <w:tcPr>
            <w:tcW w:type="dxa" w:w="1080"/>
          </w:tcPr>
          <w:p>
            <w:r>
              <w:rPr>
                <w:rFonts w:ascii="Calibri" w:hAnsi="Calibri"/>
                <w:sz w:val="22"/>
              </w:rPr>
              <w:t>$3.25B</w:t>
            </w:r>
          </w:p>
        </w:tc>
        <w:tc>
          <w:tcPr>
            <w:tcW w:type="dxa" w:w="1080"/>
          </w:tcPr>
          <w:p>
            <w:r>
              <w:rPr>
                <w:rFonts w:ascii="Calibri" w:hAnsi="Calibri"/>
                <w:sz w:val="22"/>
              </w:rPr>
              <w:t>$3.31B</w:t>
            </w:r>
          </w:p>
        </w:tc>
        <w:tc>
          <w:tcPr>
            <w:tcW w:type="dxa" w:w="1080"/>
          </w:tcPr>
          <w:p>
            <w:r>
              <w:rPr>
                <w:rFonts w:ascii="Calibri" w:hAnsi="Calibri"/>
                <w:sz w:val="22"/>
              </w:rPr>
              <w:t>+1.8%</w:t>
            </w:r>
          </w:p>
        </w:tc>
        <w:tc>
          <w:tcPr>
            <w:tcW w:type="dxa" w:w="1080"/>
          </w:tcPr>
          <w:p>
            <w:r>
              <w:rPr>
                <w:rFonts w:ascii="Calibri" w:hAnsi="Calibri"/>
                <w:sz w:val="22"/>
              </w:rPr>
              <w:t>~38 deliveries</w:t>
            </w:r>
          </w:p>
        </w:tc>
        <w:tc>
          <w:tcPr>
            <w:tcW w:type="dxa" w:w="1080"/>
          </w:tcPr>
          <w:p>
            <w:r>
              <w:rPr>
                <w:rFonts w:ascii="Calibri" w:hAnsi="Calibri"/>
                <w:sz w:val="22"/>
              </w:rPr>
              <w:t>"Very similar to Q1"</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Marine Revenue — Q2 2026 ($B)</w:t>
            </w:r>
          </w:p>
        </w:tc>
        <w:tc>
          <w:tcPr>
            <w:tcW w:type="dxa" w:w="1080"/>
          </w:tcPr>
          <w:p>
            <w:r>
              <w:rPr>
                <w:rFonts w:ascii="Calibri" w:hAnsi="Calibri"/>
                <w:sz w:val="22"/>
              </w:rPr>
              <w:t>$4.35B</w:t>
            </w:r>
          </w:p>
        </w:tc>
        <w:tc>
          <w:tcPr>
            <w:tcW w:type="dxa" w:w="1080"/>
          </w:tcPr>
          <w:p>
            <w:r>
              <w:rPr>
                <w:rFonts w:ascii="Calibri" w:hAnsi="Calibri"/>
                <w:sz w:val="22"/>
              </w:rPr>
              <w:t>$4.37B</w:t>
            </w:r>
          </w:p>
        </w:tc>
        <w:tc>
          <w:tcPr>
            <w:tcW w:type="dxa" w:w="1080"/>
          </w:tcPr>
          <w:p>
            <w:r>
              <w:rPr>
                <w:rFonts w:ascii="Calibri" w:hAnsi="Calibri"/>
                <w:sz w:val="22"/>
              </w:rPr>
              <w:t>+0.5%</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Estimates have been remarkably stable since the Q1 print, with only modest upward drift. The more notable dynamic is that FY2026 consensus EPS ($16.77) already sits ~$0.27 above the raised guidance midpoint ($16.50), implying the Street expects another guidance raise at Q2 — which sets a higher bar for a positive stock reaction on guidance alone.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GD has outperformed both XLI and the S&amp;P 500 since the Q1 print (+16.1% vs. +7.4% for XLI and +4.1% for SPY); </w:t>
      </w:r>
      <w:r>
        <w:rPr>
          <w:rFonts w:ascii="Calibri" w:hAnsi="Calibri"/>
          <w:b/>
          <w:color w:val="525866"/>
          <w:sz w:val="22"/>
        </w:rPr>
        <w:t>the move has been almost entirely multiple-driven</w:t>
      </w:r>
      <w:r>
        <w:rPr>
          <w:rFonts w:ascii="Calibri" w:hAnsi="Calibri"/>
          <w:color w:val="525866"/>
          <w:sz w:val="22"/>
        </w:rPr>
        <w:t xml:space="preserve"> (NTM P/E expanded ~11% over 1 month, ~19% over 3 months), suggesting the market is pricing in sustained execution rather than estimate revisions — leaving the stock more sensitive to any operational disappointment.</w:t>
      </w:r>
    </w:p>
    <w:p>
      <w:r>
        <w:rPr>
          <w:rFonts w:ascii="Calibri" w:hAnsi="Calibri"/>
          <w:b/>
          <w:color w:val="525866"/>
          <w:sz w:val="22"/>
        </w:rPr>
        <w:t>GD vs. XLI vs. S&amp;P 500 — Indexed Performance Since Q1 2026 Earnings (April 29,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GD (Indexed)</w:t>
            </w:r>
          </w:p>
        </w:tc>
        <w:tc>
          <w:tcPr>
            <w:tcW w:type="dxa" w:w="1728"/>
            <w:shd w:val="clear" w:color="auto" w:fill="3B4259"/>
          </w:tcPr>
          <w:p>
            <w:r>
              <w:rPr>
                <w:rFonts w:ascii="Calibri" w:hAnsi="Calibri"/>
                <w:b/>
                <w:color w:val="FFFFFF"/>
                <w:sz w:val="22"/>
              </w:rPr>
              <w:t>XLI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GD vs. XLI</w:t>
            </w:r>
          </w:p>
        </w:tc>
      </w:tr>
      <w:tr>
        <w:tc>
          <w:tcPr>
            <w:tcW w:type="dxa" w:w="1728"/>
          </w:tcPr>
          <w:p>
            <w:r>
              <w:rPr>
                <w:rFonts w:ascii="Calibri" w:hAnsi="Calibri"/>
                <w:sz w:val="22"/>
              </w:rPr>
              <w:t>Apr 29,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w:t>
            </w:r>
          </w:p>
        </w:tc>
      </w:tr>
      <w:tr>
        <w:tc>
          <w:tcPr>
            <w:tcW w:type="dxa" w:w="1728"/>
          </w:tcPr>
          <w:p>
            <w:r>
              <w:rPr>
                <w:rFonts w:ascii="Calibri" w:hAnsi="Calibri"/>
                <w:sz w:val="22"/>
              </w:rPr>
              <w:t>May 29, 2026</w:t>
            </w:r>
          </w:p>
        </w:tc>
        <w:tc>
          <w:tcPr>
            <w:tcW w:type="dxa" w:w="1728"/>
          </w:tcPr>
          <w:p>
            <w:r>
              <w:rPr>
                <w:rFonts w:ascii="Calibri" w:hAnsi="Calibri"/>
                <w:sz w:val="22"/>
              </w:rPr>
              <w:t>102.4</w:t>
            </w:r>
          </w:p>
        </w:tc>
        <w:tc>
          <w:tcPr>
            <w:tcW w:type="dxa" w:w="1728"/>
          </w:tcPr>
          <w:p>
            <w:r>
              <w:rPr>
                <w:rFonts w:ascii="Calibri" w:hAnsi="Calibri"/>
                <w:sz w:val="22"/>
              </w:rPr>
              <w:t>101.9</w:t>
            </w:r>
          </w:p>
        </w:tc>
        <w:tc>
          <w:tcPr>
            <w:tcW w:type="dxa" w:w="1728"/>
          </w:tcPr>
          <w:p>
            <w:r>
              <w:rPr>
                <w:rFonts w:ascii="Calibri" w:hAnsi="Calibri"/>
                <w:sz w:val="22"/>
              </w:rPr>
              <w:t>106.3</w:t>
            </w:r>
          </w:p>
        </w:tc>
        <w:tc>
          <w:tcPr>
            <w:tcW w:type="dxa" w:w="1728"/>
          </w:tcPr>
          <w:p>
            <w:r>
              <w:rPr>
                <w:rFonts w:ascii="Calibri" w:hAnsi="Calibri"/>
                <w:sz w:val="22"/>
              </w:rPr>
              <w:t>+0.5 pts</w:t>
            </w:r>
          </w:p>
        </w:tc>
      </w:tr>
      <w:tr>
        <w:tc>
          <w:tcPr>
            <w:tcW w:type="dxa" w:w="1728"/>
          </w:tcPr>
          <w:p>
            <w:r>
              <w:rPr>
                <w:rFonts w:ascii="Calibri" w:hAnsi="Calibri"/>
                <w:sz w:val="22"/>
              </w:rPr>
              <w:t>Jun 11, 2026 (Iran conflict escalation)</w:t>
            </w:r>
          </w:p>
        </w:tc>
        <w:tc>
          <w:tcPr>
            <w:tcW w:type="dxa" w:w="1728"/>
          </w:tcPr>
          <w:p>
            <w:r>
              <w:rPr>
                <w:rFonts w:ascii="Calibri" w:hAnsi="Calibri"/>
                <w:sz w:val="22"/>
              </w:rPr>
              <w:t>105.9</w:t>
            </w:r>
          </w:p>
        </w:tc>
        <w:tc>
          <w:tcPr>
            <w:tcW w:type="dxa" w:w="1728"/>
          </w:tcPr>
          <w:p>
            <w:r>
              <w:rPr>
                <w:rFonts w:ascii="Calibri" w:hAnsi="Calibri"/>
                <w:sz w:val="22"/>
              </w:rPr>
              <w:t>103.1</w:t>
            </w:r>
          </w:p>
        </w:tc>
        <w:tc>
          <w:tcPr>
            <w:tcW w:type="dxa" w:w="1728"/>
          </w:tcPr>
          <w:p>
            <w:r>
              <w:rPr>
                <w:rFonts w:ascii="Calibri" w:hAnsi="Calibri"/>
                <w:sz w:val="22"/>
              </w:rPr>
              <w:t>103.7</w:t>
            </w:r>
          </w:p>
        </w:tc>
        <w:tc>
          <w:tcPr>
            <w:tcW w:type="dxa" w:w="1728"/>
          </w:tcPr>
          <w:p>
            <w:r>
              <w:rPr>
                <w:rFonts w:ascii="Calibri" w:hAnsi="Calibri"/>
                <w:sz w:val="22"/>
              </w:rPr>
              <w:t>+2.8 pts</w:t>
            </w:r>
          </w:p>
        </w:tc>
      </w:tr>
      <w:tr>
        <w:tc>
          <w:tcPr>
            <w:tcW w:type="dxa" w:w="1728"/>
          </w:tcPr>
          <w:p>
            <w:r>
              <w:rPr>
                <w:rFonts w:ascii="Calibri" w:hAnsi="Calibri"/>
                <w:sz w:val="22"/>
              </w:rPr>
              <w:t>Jun 30, 2026</w:t>
            </w:r>
          </w:p>
        </w:tc>
        <w:tc>
          <w:tcPr>
            <w:tcW w:type="dxa" w:w="1728"/>
          </w:tcPr>
          <w:p>
            <w:r>
              <w:rPr>
                <w:rFonts w:ascii="Calibri" w:hAnsi="Calibri"/>
                <w:sz w:val="22"/>
              </w:rPr>
              <w:t>104.6</w:t>
            </w:r>
          </w:p>
        </w:tc>
        <w:tc>
          <w:tcPr>
            <w:tcW w:type="dxa" w:w="1728"/>
          </w:tcPr>
          <w:p>
            <w:r>
              <w:rPr>
                <w:rFonts w:ascii="Calibri" w:hAnsi="Calibri"/>
                <w:sz w:val="22"/>
              </w:rPr>
              <w:t>109.0</w:t>
            </w:r>
          </w:p>
        </w:tc>
        <w:tc>
          <w:tcPr>
            <w:tcW w:type="dxa" w:w="1728"/>
          </w:tcPr>
          <w:p>
            <w:r>
              <w:rPr>
                <w:rFonts w:ascii="Calibri" w:hAnsi="Calibri"/>
                <w:sz w:val="22"/>
              </w:rPr>
              <w:t>104.9</w:t>
            </w:r>
          </w:p>
        </w:tc>
        <w:tc>
          <w:tcPr>
            <w:tcW w:type="dxa" w:w="1728"/>
          </w:tcPr>
          <w:p>
            <w:r>
              <w:rPr>
                <w:rFonts w:ascii="Calibri" w:hAnsi="Calibri"/>
                <w:sz w:val="22"/>
              </w:rPr>
              <w:t>-4.4 pts</w:t>
            </w:r>
          </w:p>
        </w:tc>
      </w:tr>
      <w:tr>
        <w:tc>
          <w:tcPr>
            <w:tcW w:type="dxa" w:w="1728"/>
          </w:tcPr>
          <w:p>
            <w:r>
              <w:rPr>
                <w:rFonts w:ascii="Calibri" w:hAnsi="Calibri"/>
                <w:sz w:val="22"/>
              </w:rPr>
              <w:t>Jul 23, 2026 (LMT/RTX earnings)</w:t>
            </w:r>
          </w:p>
        </w:tc>
        <w:tc>
          <w:tcPr>
            <w:tcW w:type="dxa" w:w="1728"/>
          </w:tcPr>
          <w:p>
            <w:r>
              <w:rPr>
                <w:rFonts w:ascii="Calibri" w:hAnsi="Calibri"/>
                <w:sz w:val="22"/>
              </w:rPr>
              <w:t>112.7</w:t>
            </w:r>
          </w:p>
        </w:tc>
        <w:tc>
          <w:tcPr>
            <w:tcW w:type="dxa" w:w="1728"/>
          </w:tcPr>
          <w:p>
            <w:r>
              <w:rPr>
                <w:rFonts w:ascii="Calibri" w:hAnsi="Calibri"/>
                <w:sz w:val="22"/>
              </w:rPr>
              <w:t>107.1</w:t>
            </w:r>
          </w:p>
        </w:tc>
        <w:tc>
          <w:tcPr>
            <w:tcW w:type="dxa" w:w="1728"/>
          </w:tcPr>
          <w:p>
            <w:r>
              <w:rPr>
                <w:rFonts w:ascii="Calibri" w:hAnsi="Calibri"/>
                <w:sz w:val="22"/>
              </w:rPr>
              <w:t>103.7</w:t>
            </w:r>
          </w:p>
        </w:tc>
        <w:tc>
          <w:tcPr>
            <w:tcW w:type="dxa" w:w="1728"/>
          </w:tcPr>
          <w:p>
            <w:r>
              <w:rPr>
                <w:rFonts w:ascii="Calibri" w:hAnsi="Calibri"/>
                <w:sz w:val="22"/>
              </w:rPr>
              <w:t>+5.6 pts</w:t>
            </w:r>
          </w:p>
        </w:tc>
      </w:tr>
      <w:tr>
        <w:tc>
          <w:tcPr>
            <w:tcW w:type="dxa" w:w="1728"/>
          </w:tcPr>
          <w:p>
            <w:r>
              <w:rPr>
                <w:rFonts w:ascii="Calibri" w:hAnsi="Calibri"/>
                <w:sz w:val="22"/>
              </w:rPr>
              <w:t>Jul 27, 2026 (Pre-earnings)</w:t>
            </w:r>
          </w:p>
        </w:tc>
        <w:tc>
          <w:tcPr>
            <w:tcW w:type="dxa" w:w="1728"/>
          </w:tcPr>
          <w:p>
            <w:r>
              <w:rPr>
                <w:rFonts w:ascii="Calibri" w:hAnsi="Calibri"/>
                <w:sz w:val="22"/>
              </w:rPr>
              <w:t>114.9</w:t>
            </w:r>
          </w:p>
        </w:tc>
        <w:tc>
          <w:tcPr>
            <w:tcW w:type="dxa" w:w="1728"/>
          </w:tcPr>
          <w:p>
            <w:r>
              <w:rPr>
                <w:rFonts w:ascii="Calibri" w:hAnsi="Calibri"/>
                <w:sz w:val="22"/>
              </w:rPr>
              <w:t>107.8</w:t>
            </w:r>
          </w:p>
        </w:tc>
        <w:tc>
          <w:tcPr>
            <w:tcW w:type="dxa" w:w="1728"/>
          </w:tcPr>
          <w:p>
            <w:r>
              <w:rPr>
                <w:rFonts w:ascii="Calibri" w:hAnsi="Calibri"/>
                <w:sz w:val="22"/>
              </w:rPr>
              <w:t>103.9</w:t>
            </w:r>
          </w:p>
        </w:tc>
        <w:tc>
          <w:tcPr>
            <w:tcW w:type="dxa" w:w="1728"/>
          </w:tcPr>
          <w:p>
            <w:r>
              <w:rPr>
                <w:rFonts w:ascii="Calibri" w:hAnsi="Calibri"/>
                <w:sz w:val="22"/>
              </w:rPr>
              <w:t>+7.1 pts</w:t>
            </w:r>
          </w:p>
        </w:tc>
      </w:tr>
    </w:tbl>
    <w:p>
      <w:r>
        <w:rPr>
          <w:rFonts w:ascii="Calibri" w:hAnsi="Calibri"/>
          <w:i/>
          <w:color w:val="525866"/>
          <w:sz w:val="22"/>
        </w:rPr>
        <w:t>Source: Yahoo Finance / Stock Price Data. Indexed to 100 at April 29, 2026 (Q1 2026 earnings date). XLI (iShares U.S. Industrials ETF) used as the sector benchmark, appropriate for GD’s defense/industrials classification.</w:t>
      </w:r>
    </w:p>
    <w:p>
      <w:r>
        <w:rPr>
          <w:rFonts w:ascii="Calibri" w:hAnsi="Calibri"/>
          <w:b/>
          <w:color w:val="525866"/>
          <w:sz w:val="22"/>
        </w:rPr>
        <w:t xml:space="preserve">Performance Decomposition: </w:t>
      </w:r>
      <w:r>
        <w:rPr>
          <w:rFonts w:ascii="Calibri" w:hAnsi="Calibri"/>
          <w:color w:val="525866"/>
          <w:sz w:val="22"/>
        </w:rPr>
        <w:t>Over the trailing 1 month, GD is up +13.4% with NTM EV/EBITDA expanding +11.4% (from 13.84x to 15.43x), indicating the vast majority of the move is multiple expansion rather than estimate-driven. Over 3 months, GD is up +25.8% with the multiple up +16.6%, confirming the same dynamic. The stock’s re-rating reflects the market’s growing confidence in the Aerospace margin recovery and Marine throughput story, but also means the stock is now priced for continued execution with limited room for error.</w:t>
      </w:r>
    </w:p>
    <w:p>
      <w:r>
        <w:rPr>
          <w:rFonts w:ascii="Calibri" w:hAnsi="Calibri"/>
          <w:b/>
          <w:color w:val="525866"/>
          <w:sz w:val="22"/>
        </w:rPr>
        <w:t>Key Events Since Q1 Earnings:</w:t>
      </w:r>
    </w:p>
    <w:p>
      <w:pPr>
        <w:pStyle w:val="ListBullet"/>
        <w:ind w:left="360" w:hanging="360"/>
      </w:pPr>
      <w:r>
        <w:rPr>
          <w:rFonts w:ascii="Calibri" w:hAnsi="Calibri"/>
          <w:b/>
          <w:color w:val="525866"/>
          <w:sz w:val="22"/>
        </w:rPr>
        <w:t>Apr 29, 2026:</w:t>
      </w:r>
      <w:r>
        <w:rPr>
          <w:rFonts w:ascii="Calibri" w:hAnsi="Calibri"/>
          <w:color w:val="525866"/>
          <w:sz w:val="22"/>
        </w:rPr>
        <w:t xml:space="preserve"> Q1 2026 earnings beat; FY EPS guidance raised to $16.45–$16.55; stock surged in pre-market.</w:t>
      </w:r>
    </w:p>
    <w:p>
      <w:pPr>
        <w:pStyle w:val="ListBullet"/>
        <w:ind w:left="360" w:hanging="360"/>
      </w:pPr>
      <w:r>
        <w:rPr>
          <w:rFonts w:ascii="Calibri" w:hAnsi="Calibri"/>
          <w:b/>
          <w:color w:val="525866"/>
          <w:sz w:val="22"/>
        </w:rPr>
        <w:t>Jun 11, 2026:</w:t>
      </w:r>
      <w:r>
        <w:rPr>
          <w:rFonts w:ascii="Calibri" w:hAnsi="Calibri"/>
          <w:color w:val="525866"/>
          <w:sz w:val="22"/>
        </w:rPr>
        <w:t xml:space="preserve"> Iran-U.S. conflict escalation drove defense sector re-rating; GD outperformed on Combat Systems/Marine demand expectations.</w:t>
      </w:r>
    </w:p>
    <w:p>
      <w:pPr>
        <w:pStyle w:val="ListBullet"/>
        <w:ind w:left="360" w:hanging="360"/>
      </w:pPr>
      <w:r>
        <w:rPr>
          <w:rFonts w:ascii="Calibri" w:hAnsi="Calibri"/>
          <w:b/>
          <w:color w:val="525866"/>
          <w:sz w:val="22"/>
        </w:rPr>
        <w:t>Jul 9, 2026:</w:t>
      </w:r>
      <w:r>
        <w:rPr>
          <w:rFonts w:ascii="Calibri" w:hAnsi="Calibri"/>
          <w:color w:val="525866"/>
          <w:sz w:val="22"/>
        </w:rPr>
        <w:t xml:space="preserve"> GD announced Q2 2026 earnings webcast date (July 29).</w:t>
      </w:r>
    </w:p>
    <w:p>
      <w:pPr>
        <w:pStyle w:val="ListBullet"/>
        <w:ind w:left="360" w:hanging="360"/>
      </w:pPr>
      <w:r>
        <w:rPr>
          <w:rFonts w:ascii="Calibri" w:hAnsi="Calibri"/>
          <w:b/>
          <w:color w:val="525866"/>
          <w:sz w:val="22"/>
        </w:rPr>
        <w:t>Jul 21–23, 2026:</w:t>
      </w:r>
      <w:r>
        <w:rPr>
          <w:rFonts w:ascii="Calibri" w:hAnsi="Calibri"/>
          <w:color w:val="525866"/>
          <w:sz w:val="22"/>
        </w:rPr>
        <w:t xml:space="preserve"> LMT and RTX Q2 2026 earnings beats with guidance raises drove sector-wide re-rating; GD rallied in sympathy (+3.5% Jul 22–23).</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escalating U.S.-Iran military conflict, which is a </w:t>
      </w:r>
      <w:r>
        <w:rPr>
          <w:rFonts w:ascii="Calibri" w:hAnsi="Calibri"/>
          <w:b/>
          <w:color w:val="525866"/>
          <w:sz w:val="22"/>
        </w:rPr>
        <w:t>net positive for GD’s defense segments (Combat Systems, Marine, Technologies) but a headwind for Gulfstream order intake and G280 supply chain</w:t>
      </w:r>
      <w:r>
        <w:rPr>
          <w:rFonts w:ascii="Calibri" w:hAnsi="Calibri"/>
          <w:color w:val="525866"/>
          <w:sz w:val="22"/>
        </w:rPr>
        <w:t xml:space="preserve"> — the balance of these effects will be a key focus on the Q2 call.</w:t>
      </w:r>
    </w:p>
    <w:p>
      <w:pPr>
        <w:pStyle w:val="ListBullet"/>
        <w:ind w:left="360" w:hanging="360"/>
      </w:pPr>
      <w:r>
        <w:rPr>
          <w:rFonts w:ascii="Calibri" w:hAnsi="Calibri"/>
          <w:b/>
          <w:color w:val="525866"/>
          <w:sz w:val="22"/>
        </w:rPr>
        <w:t>Jul 28, 2026 — Boeing Q2 2026 Earnings (Aerospace Read-Through):</w:t>
      </w:r>
      <w:r>
        <w:rPr>
          <w:rFonts w:ascii="Calibri" w:hAnsi="Calibri"/>
          <w:color w:val="525866"/>
          <w:sz w:val="22"/>
        </w:rPr>
        <w:t xml:space="preserve"> Boeing reported a larger-than-expected Q2 loss ($428M net loss) due to a $280M Air Force One charge, but generated $631M in free cash flow (vs. -$200M consensus), beating by ~$830M. Boeing is now targeting 47 737 MAX/month (up from 42) and reaffirmed $1–$3B FCF guidance for the year. The FAA restored Boeing’s airworthiness certification authority for 737 MAX and 787. </w:t>
      </w:r>
    </w:p>
    <w:p>
      <w:pPr>
        <w:pStyle w:val="ListBullet"/>
        <w:ind w:left="360" w:hanging="360"/>
      </w:pPr>
      <w:r>
        <w:rPr>
          <w:rFonts w:ascii="Calibri" w:hAnsi="Calibri"/>
          <w:b/>
          <w:color w:val="525866"/>
          <w:sz w:val="22"/>
        </w:rPr>
        <w:t>Jul 23, 2026 — LMT Q2 2026 Earnings (Strong Defense Read-Through):</w:t>
      </w:r>
      <w:r>
        <w:rPr>
          <w:rFonts w:ascii="Calibri" w:hAnsi="Calibri"/>
          <w:color w:val="525866"/>
          <w:sz w:val="22"/>
        </w:rPr>
        <w:t xml:space="preserve"> Lockheed Martin reported Q2 EPS of $7.94 vs. $7.19 consensus (+10.4% beat) on revenue of $20.1B vs. $19.3B consensus. Backlog reached a record $230B (+38% YoY). LMT raised FY2026 EPS guidance to ~$30.30 and revenue to ~$80.8B. </w:t>
      </w:r>
    </w:p>
    <w:p>
      <w:pPr>
        <w:pStyle w:val="ListBullet"/>
        <w:ind w:left="360" w:hanging="360"/>
      </w:pPr>
      <w:r>
        <w:rPr>
          <w:rFonts w:ascii="Calibri" w:hAnsi="Calibri"/>
          <w:b/>
          <w:color w:val="525866"/>
          <w:sz w:val="22"/>
        </w:rPr>
        <w:t>Jul 23, 2026 — RTX Q2 2026 Earnings (Defense &amp; Aerospace Read-Through):</w:t>
      </w:r>
      <w:r>
        <w:rPr>
          <w:rFonts w:ascii="Calibri" w:hAnsi="Calibri"/>
          <w:color w:val="525866"/>
          <w:sz w:val="22"/>
        </w:rPr>
        <w:t xml:space="preserve"> RTX reported adjusted EPS of $1.89 (+21% YoY) on sales of $24.7B (+16% organic). Backlog hit a record $289B (+22% YoY). Raytheon book-to-bill was 2.4x in Q2. RTX raised FY2026 sales guidance by $2.5B to $95–$96B and EPS to $7.10–$7.25. </w:t>
      </w:r>
    </w:p>
    <w:p>
      <w:pPr>
        <w:pStyle w:val="ListBullet"/>
        <w:ind w:left="360" w:hanging="360"/>
      </w:pPr>
      <w:r>
        <w:rPr>
          <w:rFonts w:ascii="Calibri" w:hAnsi="Calibri"/>
          <w:b/>
          <w:color w:val="525866"/>
          <w:sz w:val="22"/>
        </w:rPr>
        <w:t>Jul 21, 2026 — NOC Q2 2026 Earnings (Defense Read-Through):</w:t>
      </w:r>
      <w:r>
        <w:rPr>
          <w:rFonts w:ascii="Calibri" w:hAnsi="Calibri"/>
          <w:color w:val="525866"/>
          <w:sz w:val="22"/>
        </w:rPr>
        <w:t xml:space="preserve"> Northrop Grumman reported $20B in net awards (book-to-bill 1.84x), driving backlog to a record $105B (+17% YoY). NOC raised FY2026 sales guidance to $43.75–$44.25B and now expects a full-year book-to-bill of at least 1.25x. </w:t>
      </w:r>
    </w:p>
    <w:p>
      <w:pPr>
        <w:pStyle w:val="ListBullet"/>
        <w:ind w:left="360" w:hanging="360"/>
      </w:pPr>
      <w:r>
        <w:rPr>
          <w:rFonts w:ascii="Calibri" w:hAnsi="Calibri"/>
          <w:b/>
          <w:color w:val="525866"/>
          <w:sz w:val="22"/>
        </w:rPr>
        <w:t>Jul 20, 2026 — Trump Executive Order on Defense Supply Chain:</w:t>
      </w:r>
      <w:r>
        <w:rPr>
          <w:rFonts w:ascii="Calibri" w:hAnsi="Calibri"/>
          <w:color w:val="525866"/>
          <w:sz w:val="22"/>
        </w:rPr>
        <w:t xml:space="preserve"> President Trump signed an executive order requiring defense contractors to screen supply chains and eliminate foreign suppliers of concern (including China). Contractors must map supply chains from raw materials to final products and fix vulnerabilities on a tracked timeline. </w:t>
      </w:r>
    </w:p>
    <w:p>
      <w:pPr>
        <w:pStyle w:val="ListBullet"/>
        <w:ind w:left="360" w:hanging="360"/>
      </w:pPr>
      <w:r>
        <w:rPr>
          <w:rFonts w:ascii="Calibri" w:hAnsi="Calibri"/>
          <w:b/>
          <w:color w:val="525866"/>
          <w:sz w:val="22"/>
        </w:rPr>
        <w:t>Jul 18, 2026 — U.S.-Iran Conflict Escalation:</w:t>
      </w:r>
      <w:r>
        <w:rPr>
          <w:rFonts w:ascii="Calibri" w:hAnsi="Calibri"/>
          <w:color w:val="525866"/>
          <w:sz w:val="22"/>
        </w:rPr>
        <w:t xml:space="preserve"> Two U.S. service members killed in Iranian missile attack on a Jordan air base; hostilities escalated following collapse of a ceasefire. The conflict has driven significant demand for air and missile defense systems, munitions replenishment, and naval assets — all areas where GD has exposure. </w:t>
      </w:r>
    </w:p>
    <w:p>
      <w:pPr>
        <w:pStyle w:val="ListBullet"/>
        <w:ind w:left="360" w:hanging="360"/>
      </w:pPr>
      <w:r>
        <w:rPr>
          <w:rFonts w:ascii="Calibri" w:hAnsi="Calibri"/>
          <w:b/>
          <w:color w:val="525866"/>
          <w:sz w:val="22"/>
        </w:rPr>
        <w:t>Jul 17, 2026 — Saab Q2 2026 (European Defense Read-Through):</w:t>
      </w:r>
      <w:r>
        <w:rPr>
          <w:rFonts w:ascii="Calibri" w:hAnsi="Calibri"/>
          <w:color w:val="525866"/>
          <w:sz w:val="22"/>
        </w:rPr>
        <w:t xml:space="preserve"> Saab reported 29.8% organic revenue growth in Q2 (vs. ~20% Street estimate) with a book-to-bill of 2.71x, confirming explosive European defense demand. NATO allies pledged $50B in additional investments at a recent summit. </w:t>
      </w:r>
    </w:p>
    <w:p>
      <w:pPr>
        <w:pStyle w:val="ListBullet"/>
        <w:ind w:left="360" w:hanging="360"/>
      </w:pPr>
      <w:r>
        <w:rPr>
          <w:rFonts w:ascii="Calibri" w:hAnsi="Calibri"/>
          <w:b/>
          <w:color w:val="525866"/>
          <w:sz w:val="22"/>
        </w:rPr>
        <w:t>Jul 16, 2026 — GE Aerospace Q2 2026 (Aerospace Read-Through):</w:t>
      </w:r>
      <w:r>
        <w:rPr>
          <w:rFonts w:ascii="Calibri" w:hAnsi="Calibri"/>
          <w:color w:val="525866"/>
          <w:sz w:val="22"/>
        </w:rPr>
        <w:t xml:space="preserve"> GE Aerospace reported Q2 EPS of $2.02 vs. $1.86 consensus on revenue of $12.6B (+24% adjusted). Raised FY2026 EPS guidance to $7.75 from $7.25. Orders up 17%; free cash flow ~$3B (+43% YoY). CEO Larry Culp stated GE is "sold out into the early 2030s" on both commercial and defense engines. </w:t>
      </w:r>
    </w:p>
    <w:p>
      <w:pPr>
        <w:pStyle w:val="ListBullet"/>
        <w:ind w:left="360" w:hanging="360"/>
      </w:pPr>
      <w:r>
        <w:rPr>
          <w:rFonts w:ascii="Calibri" w:hAnsi="Calibri"/>
          <w:b/>
          <w:color w:val="525866"/>
          <w:sz w:val="22"/>
        </w:rPr>
        <w:t>Jul 15, 2026 — $1.15T Defense Policy Bill Passed House:</w:t>
      </w:r>
      <w:r>
        <w:rPr>
          <w:rFonts w:ascii="Calibri" w:hAnsi="Calibri"/>
          <w:color w:val="525866"/>
          <w:sz w:val="22"/>
        </w:rPr>
        <w:t xml:space="preserve"> The House passed a $1.15T defense policy bill, with the administration also submitting a $67B supplemental request for the Department of War to fund Iran war costs, weapons replenishment, and military readiness. </w:t>
      </w:r>
    </w:p>
    <w:p>
      <w:pPr>
        <w:pStyle w:val="ListBullet"/>
        <w:ind w:left="360" w:hanging="360"/>
      </w:pPr>
      <w:r>
        <w:rPr>
          <w:rFonts w:ascii="Calibri" w:hAnsi="Calibri"/>
          <w:b/>
          <w:color w:val="525866"/>
          <w:sz w:val="22"/>
        </w:rPr>
        <w:t>Jul 9, 2026 — GD Announces Q2 Earnings Webcast:</w:t>
      </w:r>
      <w:r>
        <w:rPr>
          <w:rFonts w:ascii="Calibri" w:hAnsi="Calibri"/>
          <w:color w:val="525866"/>
          <w:sz w:val="22"/>
        </w:rPr>
        <w:t xml:space="preserve"> General Dynamics confirmed Q2 2026 earnings call for July 29, 2026 at 9:00 AM ET. </w:t>
      </w:r>
    </w:p>
    <w:p>
      <w:pPr>
        <w:pStyle w:val="ListBullet"/>
        <w:ind w:left="360" w:hanging="360"/>
      </w:pPr>
      <w:r>
        <w:rPr>
          <w:rFonts w:ascii="Calibri" w:hAnsi="Calibri"/>
          <w:b/>
          <w:color w:val="525866"/>
          <w:sz w:val="22"/>
        </w:rPr>
        <w:t>May 11, 2026 — GD Annual Meeting:</w:t>
      </w:r>
      <w:r>
        <w:rPr>
          <w:rFonts w:ascii="Calibri" w:hAnsi="Calibri"/>
          <w:color w:val="525866"/>
          <w:sz w:val="22"/>
        </w:rPr>
        <w:t xml:space="preserve"> Shareholders backed the board, auditor, and executive pay at the annual meeting. No material governance changes. </w:t>
      </w:r>
    </w:p>
    <w:p>
      <w:pPr>
        <w:pStyle w:val="ListBullet"/>
        <w:ind w:left="360" w:hanging="360"/>
      </w:pPr>
      <w:r>
        <w:rPr>
          <w:rFonts w:ascii="Calibri" w:hAnsi="Calibri"/>
          <w:b/>
          <w:color w:val="525866"/>
          <w:sz w:val="22"/>
        </w:rPr>
        <w:t>Ongoing — NATO Explosives/Munitions Buildout:</w:t>
      </w:r>
      <w:r>
        <w:rPr>
          <w:rFonts w:ascii="Calibri" w:hAnsi="Calibri"/>
          <w:color w:val="525866"/>
          <w:sz w:val="22"/>
        </w:rPr>
        <w:t xml:space="preserve"> At least 24 new projects are underway for propellants or explosives across NATO countries, with three new factories planned for Arkansas alone. Western governments are accelerating domestic defense manufacturing, directly benefiting GD’s Combat Systems munitions and ordnance business. </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Two discretionary open-market sales by insiders since Q1 earnings — both at prices well below current levels — are not alarming in isolation, but the absence of any open-market buying is notable given the stock’s strong run.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Burns, Mark Lagrand</w:t>
            </w:r>
          </w:p>
        </w:tc>
        <w:tc>
          <w:tcPr>
            <w:tcW w:type="dxa" w:w="1440"/>
          </w:tcPr>
          <w:p>
            <w:r>
              <w:rPr>
                <w:rFonts w:ascii="Calibri" w:hAnsi="Calibri"/>
                <w:sz w:val="22"/>
              </w:rPr>
              <w:t>Executive Vice President</w:t>
            </w:r>
          </w:p>
        </w:tc>
        <w:tc>
          <w:tcPr>
            <w:tcW w:type="dxa" w:w="1440"/>
          </w:tcPr>
          <w:p>
            <w:r>
              <w:rPr>
                <w:rFonts w:ascii="Calibri" w:hAnsi="Calibri"/>
                <w:sz w:val="22"/>
              </w:rPr>
              <w:t>Open Market Sale</w:t>
            </w:r>
          </w:p>
        </w:tc>
        <w:tc>
          <w:tcPr>
            <w:tcW w:type="dxa" w:w="1440"/>
          </w:tcPr>
          <w:p>
            <w:r>
              <w:rPr>
                <w:rFonts w:ascii="Calibri" w:hAnsi="Calibri"/>
                <w:sz w:val="22"/>
              </w:rPr>
              <w:t>36,230 shares</w:t>
            </w:r>
          </w:p>
        </w:tc>
        <w:tc>
          <w:tcPr>
            <w:tcW w:type="dxa" w:w="1440"/>
          </w:tcPr>
          <w:p>
            <w:r>
              <w:rPr>
                <w:rFonts w:ascii="Calibri" w:hAnsi="Calibri"/>
                <w:sz w:val="22"/>
              </w:rPr>
              <w:t>May 11, 2026</w:t>
            </w:r>
          </w:p>
        </w:tc>
        <w:tc>
          <w:tcPr>
            <w:tcW w:type="dxa" w:w="1440"/>
          </w:tcPr>
          <w:p>
            <w:r>
              <w:rPr>
                <w:rFonts w:ascii="Calibri" w:hAnsi="Calibri"/>
                <w:sz w:val="22"/>
              </w:rPr>
              <w:t>Discretionary; sold at ~$341/share (stock now ~$393); retained ~38,975 shares post-sale</w:t>
            </w:r>
          </w:p>
        </w:tc>
      </w:tr>
      <w:tr>
        <w:tc>
          <w:tcPr>
            <w:tcW w:type="dxa" w:w="1440"/>
          </w:tcPr>
          <w:p>
            <w:r>
              <w:rPr>
                <w:rFonts w:ascii="Calibri" w:hAnsi="Calibri"/>
                <w:sz w:val="22"/>
              </w:rPr>
              <w:t>Burns, Mark Lagrand</w:t>
            </w:r>
          </w:p>
        </w:tc>
        <w:tc>
          <w:tcPr>
            <w:tcW w:type="dxa" w:w="1440"/>
          </w:tcPr>
          <w:p>
            <w:r>
              <w:rPr>
                <w:rFonts w:ascii="Calibri" w:hAnsi="Calibri"/>
                <w:sz w:val="22"/>
              </w:rPr>
              <w:t>Executive Vice President</w:t>
            </w:r>
          </w:p>
        </w:tc>
        <w:tc>
          <w:tcPr>
            <w:tcW w:type="dxa" w:w="1440"/>
          </w:tcPr>
          <w:p>
            <w:r>
              <w:rPr>
                <w:rFonts w:ascii="Calibri" w:hAnsi="Calibri"/>
                <w:sz w:val="22"/>
              </w:rPr>
              <w:t>Open Market Sale</w:t>
            </w:r>
          </w:p>
        </w:tc>
        <w:tc>
          <w:tcPr>
            <w:tcW w:type="dxa" w:w="1440"/>
          </w:tcPr>
          <w:p>
            <w:r>
              <w:rPr>
                <w:rFonts w:ascii="Calibri" w:hAnsi="Calibri"/>
                <w:sz w:val="22"/>
              </w:rPr>
              <w:t>36,480 shares</w:t>
            </w:r>
          </w:p>
        </w:tc>
        <w:tc>
          <w:tcPr>
            <w:tcW w:type="dxa" w:w="1440"/>
          </w:tcPr>
          <w:p>
            <w:r>
              <w:rPr>
                <w:rFonts w:ascii="Calibri" w:hAnsi="Calibri"/>
                <w:sz w:val="22"/>
              </w:rPr>
              <w:t>May 12, 2026</w:t>
            </w:r>
          </w:p>
        </w:tc>
        <w:tc>
          <w:tcPr>
            <w:tcW w:type="dxa" w:w="1440"/>
          </w:tcPr>
          <w:p>
            <w:r>
              <w:rPr>
                <w:rFonts w:ascii="Calibri" w:hAnsi="Calibri"/>
                <w:sz w:val="22"/>
              </w:rPr>
              <w:t>Discretionary; sold at ~$341/share; two-day sale pattern suggests planned liquidation; no 10b5-1 plan indicated</w:t>
            </w:r>
          </w:p>
        </w:tc>
      </w:tr>
      <w:tr>
        <w:tc>
          <w:tcPr>
            <w:tcW w:type="dxa" w:w="1440"/>
          </w:tcPr>
          <w:p>
            <w:r>
              <w:rPr>
                <w:rFonts w:ascii="Calibri" w:hAnsi="Calibri"/>
                <w:sz w:val="22"/>
              </w:rPr>
              <w:t>Malcolm, Mark</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5,480 shares</w:t>
            </w:r>
          </w:p>
        </w:tc>
        <w:tc>
          <w:tcPr>
            <w:tcW w:type="dxa" w:w="1440"/>
          </w:tcPr>
          <w:p>
            <w:r>
              <w:rPr>
                <w:rFonts w:ascii="Calibri" w:hAnsi="Calibri"/>
                <w:sz w:val="22"/>
              </w:rPr>
              <w:t>Jun 17, 2026</w:t>
            </w:r>
          </w:p>
        </w:tc>
        <w:tc>
          <w:tcPr>
            <w:tcW w:type="dxa" w:w="1440"/>
          </w:tcPr>
          <w:p>
            <w:r>
              <w:rPr>
                <w:rFonts w:ascii="Calibri" w:hAnsi="Calibri"/>
                <w:sz w:val="22"/>
              </w:rPr>
              <w:t>Discretionary; sold at ~$363/share; retained 10,643 shares; smaller transaction, less notable</w:t>
            </w:r>
          </w:p>
        </w:tc>
      </w:tr>
    </w:tbl>
    <w:p>
      <w:r>
        <w:rPr>
          <w:rFonts w:ascii="Calibri" w:hAnsi="Calibri"/>
          <w:i/>
          <w:color w:val="525866"/>
          <w:sz w:val="22"/>
        </w:rPr>
        <w:t xml:space="preserve">Source: SEC Form 4 Filings. </w:t>
      </w:r>
      <w:r>
        <w:rPr>
          <w:rFonts w:ascii="Calibri" w:hAnsi="Calibri"/>
          <w:i/>
          <w:color w:val="525866"/>
          <w:sz w:val="22"/>
        </w:rPr>
        <w:t>All three transactions are discretionary open-market sales with no 10b5-1 plan indicated. The EVP Burns sold ~72,710 shares over two days in May at ~$341 — approximately 13% below the current price — which in hindsight appears to have been early. The absence of any open-market purchases by insiders since the Q1 beat is not unusual for a defense company where executives typically receive equity compensation, but it does mean there is no positive insider signal heading into Q2.</w:t>
      </w:r>
    </w:p>
    <w:p>
      <w:r>
        <w:br w:type="page"/>
      </w:r>
    </w:p>
    <w:p>
      <w:pPr>
        <w:pStyle w:val="Heading2"/>
      </w:pPr>
      <w:r>
        <w:rPr>
          <w:rFonts w:ascii="Calibri" w:hAnsi="Calibri"/>
          <w:b/>
          <w:color w:val="3B4259"/>
          <w:sz w:val="28"/>
        </w:rPr>
        <w:t>8. Peer Commentaries &amp; Read-Throughs (Last 60 Days)</w:t>
      </w:r>
    </w:p>
    <w:p>
      <w:r>
        <w:rPr>
          <w:rFonts w:ascii="Calibri" w:hAnsi="Calibri"/>
          <w:b/>
          <w:color w:val="525866"/>
          <w:sz w:val="22"/>
        </w:rPr>
        <w:t xml:space="preserve">Key Takeaway: </w:t>
      </w:r>
      <w:r>
        <w:rPr>
          <w:rFonts w:ascii="Calibri" w:hAnsi="Calibri"/>
          <w:color w:val="525866"/>
          <w:sz w:val="22"/>
        </w:rPr>
        <w:t xml:space="preserve">Peer Q2 2026 earnings calls from LMT, RTX, NOC, GE Aerospace, and Textron Aviation all reported this quarter and provide </w:t>
      </w:r>
      <w:r>
        <w:rPr>
          <w:rFonts w:ascii="Calibri" w:hAnsi="Calibri"/>
          <w:b/>
          <w:color w:val="525866"/>
          <w:sz w:val="22"/>
        </w:rPr>
        <w:t>uniformly positive read-throughs for GD’s defense segments and a constructive (if more nuanced) read-through for Gulfstream</w:t>
      </w:r>
      <w:r>
        <w:rPr>
          <w:rFonts w:ascii="Calibri" w:hAnsi="Calibri"/>
          <w:color w:val="525866"/>
          <w:sz w:val="22"/>
        </w:rPr>
        <w:t>. The defense demand environment is the strongest in a generation; the Aerospace aftermarket is resilient; and supply chain constraints, while easing, remain a watch item.</w:t>
      </w:r>
    </w:p>
    <w:p>
      <w:r>
        <w:rPr>
          <w:rFonts w:ascii="Calibri" w:hAnsi="Calibri"/>
          <w:i/>
          <w:color w:val="525866"/>
          <w:sz w:val="22"/>
        </w:rPr>
        <w:t>Note: Only commentary from peers’ Q2 2026 earnings calls (reporting on the current quarter ending June 30, 2026) or forward-looking statements made after GD’s Q1 2026 earnings (April 29, 2026) are included below. Retrospective commentary on prior periods has been excluded.</w:t>
      </w:r>
    </w:p>
    <w:p>
      <w:pPr>
        <w:pStyle w:val="Heading3"/>
      </w:pPr>
      <w:r>
        <w:rPr>
          <w:rFonts w:ascii="Calibri" w:hAnsi="Calibri"/>
          <w:b/>
          <w:color w:val="3B4259"/>
          <w:sz w:val="24"/>
        </w:rPr>
        <w:t>8.1 Lockheed Martin (LMT) — Q2 2026 Earnings Call (July 23, 2026)</w:t>
      </w:r>
    </w:p>
    <w:p>
      <w:r>
        <w:rPr>
          <w:rFonts w:ascii="Calibri" w:hAnsi="Calibri"/>
          <w:b/>
          <w:color w:val="525866"/>
          <w:sz w:val="22"/>
        </w:rPr>
        <w:t xml:space="preserve">Relevance to GD: </w:t>
      </w:r>
      <w:r>
        <w:rPr>
          <w:rFonts w:ascii="Calibri" w:hAnsi="Calibri"/>
          <w:color w:val="525866"/>
          <w:sz w:val="22"/>
        </w:rPr>
        <w:t>LMT is GD’s closest defense peer across Combat Systems (munitions, missiles) and Marine (naval programs). LMT’s Q2 2026 results are the single most important read-through for GD’s defense segments.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LMT Commentary (Q2 2026)</w:t>
            </w:r>
          </w:p>
        </w:tc>
        <w:tc>
          <w:tcPr>
            <w:tcW w:type="dxa" w:w="2160"/>
            <w:shd w:val="clear" w:color="auto" w:fill="3B4259"/>
          </w:tcPr>
          <w:p>
            <w:r>
              <w:rPr>
                <w:rFonts w:ascii="Calibri" w:hAnsi="Calibri"/>
                <w:b/>
                <w:color w:val="FFFFFF"/>
                <w:sz w:val="22"/>
              </w:rPr>
              <w:t>Read-Through Type</w:t>
            </w:r>
          </w:p>
        </w:tc>
        <w:tc>
          <w:tcPr>
            <w:tcW w:type="dxa" w:w="2160"/>
            <w:shd w:val="clear" w:color="auto" w:fill="3B4259"/>
          </w:tcPr>
          <w:p>
            <w:r>
              <w:rPr>
                <w:rFonts w:ascii="Calibri" w:hAnsi="Calibri"/>
                <w:b/>
                <w:color w:val="FFFFFF"/>
                <w:sz w:val="22"/>
              </w:rPr>
              <w:t>Implication for GD</w:t>
            </w:r>
          </w:p>
        </w:tc>
      </w:tr>
      <w:tr>
        <w:tc>
          <w:tcPr>
            <w:tcW w:type="dxa" w:w="2160"/>
          </w:tcPr>
          <w:p>
            <w:r>
              <w:rPr>
                <w:rFonts w:ascii="Calibri" w:hAnsi="Calibri"/>
                <w:sz w:val="22"/>
              </w:rPr>
              <w:t>Defense Demand &amp; Backlog</w:t>
            </w:r>
          </w:p>
        </w:tc>
        <w:tc>
          <w:tcPr>
            <w:tcW w:type="dxa" w:w="2160"/>
          </w:tcPr>
          <w:p>
            <w:r>
              <w:rPr>
                <w:rFonts w:ascii="Calibri" w:hAnsi="Calibri"/>
                <w:sz w:val="22"/>
              </w:rPr>
              <w:t>Backlog hit a record $230B (+38% YoY); book-to-bill of 3.2x in Q2; "robust customer demand" driving broad-based growth across all segments in H2 2026</w:t>
            </w:r>
          </w:p>
        </w:tc>
        <w:tc>
          <w:tcPr>
            <w:tcW w:type="dxa" w:w="2160"/>
          </w:tcPr>
          <w:p>
            <w:r>
              <w:rPr>
                <w:rFonts w:ascii="Calibri" w:hAnsi="Calibri"/>
                <w:sz w:val="22"/>
              </w:rPr>
              <w:t>DIRECT — Positive</w:t>
            </w:r>
          </w:p>
        </w:tc>
        <w:tc>
          <w:tcPr>
            <w:tcW w:type="dxa" w:w="2160"/>
          </w:tcPr>
          <w:p>
            <w:r>
              <w:rPr>
                <w:rFonts w:ascii="Calibri" w:hAnsi="Calibri"/>
                <w:sz w:val="22"/>
              </w:rPr>
              <w:t>GD’s Combat Systems and Marine backlogs should also reflect sustained demand; GD’s trailing 12-month Combat Systems book-to-bill was 2.1x as of Q1 2026</w:t>
            </w:r>
          </w:p>
        </w:tc>
      </w:tr>
      <w:tr>
        <w:tc>
          <w:tcPr>
            <w:tcW w:type="dxa" w:w="2160"/>
          </w:tcPr>
          <w:p>
            <w:r>
              <w:rPr>
                <w:rFonts w:ascii="Calibri" w:hAnsi="Calibri"/>
                <w:sz w:val="22"/>
              </w:rPr>
              <w:t>Munitions Production Ramp</w:t>
            </w:r>
          </w:p>
        </w:tc>
        <w:tc>
          <w:tcPr>
            <w:tcW w:type="dxa" w:w="2160"/>
          </w:tcPr>
          <w:p>
            <w:r>
              <w:rPr>
                <w:rFonts w:ascii="Calibri" w:hAnsi="Calibri"/>
                <w:sz w:val="22"/>
              </w:rPr>
              <w:t>MFC sales up 19% YoY; $35B THAAD contract awarded; being asked to "triple PAC-3 MSE production, quadruple THAAD"; signed MOU with Rheinmetall for European ATACMS production center</w:t>
            </w:r>
          </w:p>
        </w:tc>
        <w:tc>
          <w:tcPr>
            <w:tcW w:type="dxa" w:w="2160"/>
          </w:tcPr>
          <w:p>
            <w:r>
              <w:rPr>
                <w:rFonts w:ascii="Calibri" w:hAnsi="Calibri"/>
                <w:sz w:val="22"/>
              </w:rPr>
              <w:t>DIRECT — Positive</w:t>
            </w:r>
          </w:p>
        </w:tc>
        <w:tc>
          <w:tcPr>
            <w:tcW w:type="dxa" w:w="2160"/>
          </w:tcPr>
          <w:p>
            <w:r>
              <w:rPr>
                <w:rFonts w:ascii="Calibri" w:hAnsi="Calibri"/>
                <w:sz w:val="22"/>
              </w:rPr>
              <w:t>GD’s Ordnance &amp; Tactical Systems (munitions, artillery) is experiencing the same demand surge; Mesquite artillery facility expected to begin production in 2027; European munitions demand directly benefits GD Combat Systems</w:t>
            </w:r>
          </w:p>
        </w:tc>
      </w:tr>
      <w:tr>
        <w:tc>
          <w:tcPr>
            <w:tcW w:type="dxa" w:w="2160"/>
          </w:tcPr>
          <w:p>
            <w:r>
              <w:rPr>
                <w:rFonts w:ascii="Calibri" w:hAnsi="Calibri"/>
                <w:sz w:val="22"/>
              </w:rPr>
              <w:t>Navy / Undersea Warfare</w:t>
            </w:r>
          </w:p>
        </w:tc>
        <w:tc>
          <w:tcPr>
            <w:tcW w:type="dxa" w:w="2160"/>
          </w:tcPr>
          <w:p>
            <w:r>
              <w:rPr>
                <w:rFonts w:ascii="Calibri" w:hAnsi="Calibri"/>
                <w:sz w:val="22"/>
              </w:rPr>
              <w:t>Conventional Prompt Strike ($1.4B cumulative modifications); Trident II production facility progress; acquired Ultra Maritime for "advanced undersea sensing and autonomous sea drone capabilities" citing "growing demand"</w:t>
            </w:r>
          </w:p>
        </w:tc>
        <w:tc>
          <w:tcPr>
            <w:tcW w:type="dxa" w:w="2160"/>
          </w:tcPr>
          <w:p>
            <w:r>
              <w:rPr>
                <w:rFonts w:ascii="Calibri" w:hAnsi="Calibri"/>
                <w:sz w:val="22"/>
              </w:rPr>
              <w:t>DIRECT — Positive</w:t>
            </w:r>
          </w:p>
        </w:tc>
        <w:tc>
          <w:tcPr>
            <w:tcW w:type="dxa" w:w="2160"/>
          </w:tcPr>
          <w:p>
            <w:r>
              <w:rPr>
                <w:rFonts w:ascii="Calibri" w:hAnsi="Calibri"/>
                <w:sz w:val="22"/>
              </w:rPr>
              <w:t>Directly validates GD’s Electric Boat (Columbia/Virginia class) and Mission Systems (Bluefin autonomous undersea) investment thesis; growing demand for undersea warfare capabilities is a multi-year tailwind</w:t>
            </w:r>
          </w:p>
        </w:tc>
      </w:tr>
      <w:tr>
        <w:tc>
          <w:tcPr>
            <w:tcW w:type="dxa" w:w="2160"/>
          </w:tcPr>
          <w:p>
            <w:r>
              <w:rPr>
                <w:rFonts w:ascii="Calibri" w:hAnsi="Calibri"/>
                <w:sz w:val="22"/>
              </w:rPr>
              <w:t>Supply Chain &amp; Production Capacity</w:t>
            </w:r>
          </w:p>
        </w:tc>
        <w:tc>
          <w:tcPr>
            <w:tcW w:type="dxa" w:w="2160"/>
          </w:tcPr>
          <w:p>
            <w:r>
              <w:rPr>
                <w:rFonts w:ascii="Calibri" w:hAnsi="Calibri"/>
                <w:sz w:val="22"/>
              </w:rPr>
              <w:t>Partnering with GM Defense to apply automotive manufacturing expertise to defense production; investing in new factories, automation, robotics, and AI on production lines; CapEx guidance raised to $2.0–$2.4B</w:t>
            </w:r>
          </w:p>
        </w:tc>
        <w:tc>
          <w:tcPr>
            <w:tcW w:type="dxa" w:w="2160"/>
          </w:tcPr>
          <w:p>
            <w:r>
              <w:rPr>
                <w:rFonts w:ascii="Calibri" w:hAnsi="Calibri"/>
                <w:sz w:val="22"/>
              </w:rPr>
              <w:t>INDIRECT — Positive</w:t>
            </w:r>
          </w:p>
        </w:tc>
        <w:tc>
          <w:tcPr>
            <w:tcW w:type="dxa" w:w="2160"/>
          </w:tcPr>
          <w:p>
            <w:r>
              <w:rPr>
                <w:rFonts w:ascii="Calibri" w:hAnsi="Calibri"/>
                <w:sz w:val="22"/>
              </w:rPr>
              <w:t>Industry-wide trend of capacity investment validates GD’s elevated CapEx (3.5–4.0% of sales); government’s emphasis on "faster, faster, faster" and increased flexibility on requirements benefits all defense primes</w:t>
            </w:r>
          </w:p>
        </w:tc>
      </w:tr>
      <w:tr>
        <w:tc>
          <w:tcPr>
            <w:tcW w:type="dxa" w:w="2160"/>
          </w:tcPr>
          <w:p>
            <w:r>
              <w:rPr>
                <w:rFonts w:ascii="Calibri" w:hAnsi="Calibri"/>
                <w:sz w:val="22"/>
              </w:rPr>
              <w:t>FMS Approvals &amp; International Demand</w:t>
            </w:r>
          </w:p>
        </w:tc>
        <w:tc>
          <w:tcPr>
            <w:tcW w:type="dxa" w:w="2160"/>
          </w:tcPr>
          <w:p>
            <w:r>
              <w:rPr>
                <w:rFonts w:ascii="Calibri" w:hAnsi="Calibri"/>
                <w:sz w:val="22"/>
              </w:rPr>
              <w:t>FMS cases being approved at a "much more rapid rate"; NATO allies pledged $50B in additional investments; European demand for munitions and air defense systems at record levels</w:t>
            </w:r>
          </w:p>
        </w:tc>
        <w:tc>
          <w:tcPr>
            <w:tcW w:type="dxa" w:w="2160"/>
          </w:tcPr>
          <w:p>
            <w:r>
              <w:rPr>
                <w:rFonts w:ascii="Calibri" w:hAnsi="Calibri"/>
                <w:sz w:val="22"/>
              </w:rPr>
              <w:t>DIRECT — Positive</w:t>
            </w:r>
          </w:p>
        </w:tc>
        <w:tc>
          <w:tcPr>
            <w:tcW w:type="dxa" w:w="2160"/>
          </w:tcPr>
          <w:p>
            <w:r>
              <w:rPr>
                <w:rFonts w:ascii="Calibri" w:hAnsi="Calibri"/>
                <w:sz w:val="22"/>
              </w:rPr>
              <w:t>GD’s Combat Systems has significant European exposure (wheeled/tracked vehicles, munitions); faster FMS approvals accelerate order conversion to revenue</w:t>
            </w:r>
          </w:p>
        </w:tc>
      </w:tr>
    </w:tbl>
    <w:p>
      <w:pPr>
        <w:pStyle w:val="Heading3"/>
      </w:pPr>
      <w:r>
        <w:rPr>
          <w:rFonts w:ascii="Calibri" w:hAnsi="Calibri"/>
          <w:b/>
          <w:color w:val="3B4259"/>
          <w:sz w:val="24"/>
        </w:rPr>
        <w:t>8.2 RTX Corporation — Q2 2026 Earnings Call (July 23, 2026)</w:t>
      </w:r>
    </w:p>
    <w:p>
      <w:r>
        <w:rPr>
          <w:rFonts w:ascii="Calibri" w:hAnsi="Calibri"/>
          <w:b/>
          <w:color w:val="525866"/>
          <w:sz w:val="22"/>
        </w:rPr>
        <w:t xml:space="preserve">Relevance to GD: </w:t>
      </w:r>
      <w:r>
        <w:rPr>
          <w:rFonts w:ascii="Calibri" w:hAnsi="Calibri"/>
          <w:color w:val="525866"/>
          <w:sz w:val="22"/>
        </w:rPr>
        <w:t>RTX’s Raytheon segment competes with and complements GD’s Combat Systems and Technologies segments; Pratt &amp; Whitney and Collins Aerospace provide read-throughs for Gulfstream’s supply chain and aerospace aftermarket.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RTX Commentary (Q2 2026)</w:t>
            </w:r>
          </w:p>
        </w:tc>
        <w:tc>
          <w:tcPr>
            <w:tcW w:type="dxa" w:w="2160"/>
            <w:shd w:val="clear" w:color="auto" w:fill="3B4259"/>
          </w:tcPr>
          <w:p>
            <w:r>
              <w:rPr>
                <w:rFonts w:ascii="Calibri" w:hAnsi="Calibri"/>
                <w:b/>
                <w:color w:val="FFFFFF"/>
                <w:sz w:val="22"/>
              </w:rPr>
              <w:t>Read-Through Type</w:t>
            </w:r>
          </w:p>
        </w:tc>
        <w:tc>
          <w:tcPr>
            <w:tcW w:type="dxa" w:w="2160"/>
            <w:shd w:val="clear" w:color="auto" w:fill="3B4259"/>
          </w:tcPr>
          <w:p>
            <w:r>
              <w:rPr>
                <w:rFonts w:ascii="Calibri" w:hAnsi="Calibri"/>
                <w:b/>
                <w:color w:val="FFFFFF"/>
                <w:sz w:val="22"/>
              </w:rPr>
              <w:t>Implication for GD</w:t>
            </w:r>
          </w:p>
        </w:tc>
      </w:tr>
      <w:tr>
        <w:tc>
          <w:tcPr>
            <w:tcW w:type="dxa" w:w="2160"/>
          </w:tcPr>
          <w:p>
            <w:r>
              <w:rPr>
                <w:rFonts w:ascii="Calibri" w:hAnsi="Calibri"/>
                <w:sz w:val="22"/>
              </w:rPr>
              <w:t>Defense Demand &amp; Backlog</w:t>
            </w:r>
          </w:p>
        </w:tc>
        <w:tc>
          <w:tcPr>
            <w:tcW w:type="dxa" w:w="2160"/>
          </w:tcPr>
          <w:p>
            <w:r>
              <w:rPr>
                <w:rFonts w:ascii="Calibri" w:hAnsi="Calibri"/>
                <w:sz w:val="22"/>
              </w:rPr>
              <w:t>Record backlog of $289B (+22% YoY, +6% sequentially); Raytheon book-to-bill of 2.4x in Q2; over $10B in international awards in H1 2026 (2x YoY), including $7B+ from European customers; 48% of Raytheon backlog is now international</w:t>
            </w:r>
          </w:p>
        </w:tc>
        <w:tc>
          <w:tcPr>
            <w:tcW w:type="dxa" w:w="2160"/>
          </w:tcPr>
          <w:p>
            <w:r>
              <w:rPr>
                <w:rFonts w:ascii="Calibri" w:hAnsi="Calibri"/>
                <w:sz w:val="22"/>
              </w:rPr>
              <w:t>DIRECT — Positive</w:t>
            </w:r>
          </w:p>
        </w:tc>
        <w:tc>
          <w:tcPr>
            <w:tcW w:type="dxa" w:w="2160"/>
          </w:tcPr>
          <w:p>
            <w:r>
              <w:rPr>
                <w:rFonts w:ascii="Calibri" w:hAnsi="Calibri"/>
                <w:sz w:val="22"/>
              </w:rPr>
              <w:t>Validates the global defense demand environment; GD’s Combat Systems and Technologies segments should benefit from the same international demand surge, particularly from European allies</w:t>
            </w:r>
          </w:p>
        </w:tc>
      </w:tr>
      <w:tr>
        <w:tc>
          <w:tcPr>
            <w:tcW w:type="dxa" w:w="2160"/>
          </w:tcPr>
          <w:p>
            <w:r>
              <w:rPr>
                <w:rFonts w:ascii="Calibri" w:hAnsi="Calibri"/>
                <w:sz w:val="22"/>
              </w:rPr>
              <w:t>Munitions Output</w:t>
            </w:r>
          </w:p>
        </w:tc>
        <w:tc>
          <w:tcPr>
            <w:tcW w:type="dxa" w:w="2160"/>
          </w:tcPr>
          <w:p>
            <w:r>
              <w:rPr>
                <w:rFonts w:ascii="Calibri" w:hAnsi="Calibri"/>
                <w:sz w:val="22"/>
              </w:rPr>
              <w:t>Raytheon more than doubled YoY output across critical munitions in H1 2026; investing additional $100M domestically for GMT component production; collaborating with NATO nations to identify European suppliers for AMRAAM components</w:t>
            </w:r>
          </w:p>
        </w:tc>
        <w:tc>
          <w:tcPr>
            <w:tcW w:type="dxa" w:w="2160"/>
          </w:tcPr>
          <w:p>
            <w:r>
              <w:rPr>
                <w:rFonts w:ascii="Calibri" w:hAnsi="Calibri"/>
                <w:sz w:val="22"/>
              </w:rPr>
              <w:t>DIRECT — Positive</w:t>
            </w:r>
          </w:p>
        </w:tc>
        <w:tc>
          <w:tcPr>
            <w:tcW w:type="dxa" w:w="2160"/>
          </w:tcPr>
          <w:p>
            <w:r>
              <w:rPr>
                <w:rFonts w:ascii="Calibri" w:hAnsi="Calibri"/>
                <w:sz w:val="22"/>
              </w:rPr>
              <w:t>GD’s Ordnance &amp; Tactical Systems is experiencing the same demand; the industry-wide munitions ramp is a multi-year revenue driver for GD’s Combat Systems segment</w:t>
            </w:r>
          </w:p>
        </w:tc>
      </w:tr>
      <w:tr>
        <w:tc>
          <w:tcPr>
            <w:tcW w:type="dxa" w:w="2160"/>
          </w:tcPr>
          <w:p>
            <w:r>
              <w:rPr>
                <w:rFonts w:ascii="Calibri" w:hAnsi="Calibri"/>
                <w:sz w:val="22"/>
              </w:rPr>
              <w:t>Naval Programs</w:t>
            </w:r>
          </w:p>
        </w:tc>
        <w:tc>
          <w:tcPr>
            <w:tcW w:type="dxa" w:w="2160"/>
          </w:tcPr>
          <w:p>
            <w:r>
              <w:rPr>
                <w:rFonts w:ascii="Calibri" w:hAnsi="Calibri"/>
                <w:sz w:val="22"/>
              </w:rPr>
              <w:t>Raytheon sales up 18% YoY driven by "higher volume on naval programs"; Coyote counter-UAS deployed by both U.S. Army and Navy; Standard Missile and Tomahawk in high demand</w:t>
            </w:r>
          </w:p>
        </w:tc>
        <w:tc>
          <w:tcPr>
            <w:tcW w:type="dxa" w:w="2160"/>
          </w:tcPr>
          <w:p>
            <w:r>
              <w:rPr>
                <w:rFonts w:ascii="Calibri" w:hAnsi="Calibri"/>
                <w:sz w:val="22"/>
              </w:rPr>
              <w:t>DIRECT — Positive</w:t>
            </w:r>
          </w:p>
        </w:tc>
        <w:tc>
          <w:tcPr>
            <w:tcW w:type="dxa" w:w="2160"/>
          </w:tcPr>
          <w:p>
            <w:r>
              <w:rPr>
                <w:rFonts w:ascii="Calibri" w:hAnsi="Calibri"/>
                <w:sz w:val="22"/>
              </w:rPr>
              <w:t>Directly validates GD’s Marine Systems (Electric Boat, Bath Iron Works) demand environment; growing naval program volumes are a sustained tailwind</w:t>
            </w:r>
          </w:p>
        </w:tc>
      </w:tr>
      <w:tr>
        <w:tc>
          <w:tcPr>
            <w:tcW w:type="dxa" w:w="2160"/>
          </w:tcPr>
          <w:p>
            <w:r>
              <w:rPr>
                <w:rFonts w:ascii="Calibri" w:hAnsi="Calibri"/>
                <w:sz w:val="22"/>
              </w:rPr>
              <w:t>Commercial Aerospace Aftermarket</w:t>
            </w:r>
          </w:p>
        </w:tc>
        <w:tc>
          <w:tcPr>
            <w:tcW w:type="dxa" w:w="2160"/>
          </w:tcPr>
          <w:p>
            <w:r>
              <w:rPr>
                <w:rFonts w:ascii="Calibri" w:hAnsi="Calibri"/>
                <w:sz w:val="22"/>
              </w:rPr>
              <w:t>Commercial aftermarket up 18% YoY; "passenger air travel remains resilient"; airframers citing "strong demand with further growth expected in H2, driving need for OE products across narrowbody, widebody, and business jet platforms"</w:t>
            </w:r>
          </w:p>
        </w:tc>
        <w:tc>
          <w:tcPr>
            <w:tcW w:type="dxa" w:w="2160"/>
          </w:tcPr>
          <w:p>
            <w:r>
              <w:rPr>
                <w:rFonts w:ascii="Calibri" w:hAnsi="Calibri"/>
                <w:sz w:val="22"/>
              </w:rPr>
              <w:t>INDIRECT — Positive</w:t>
            </w:r>
          </w:p>
        </w:tc>
        <w:tc>
          <w:tcPr>
            <w:tcW w:type="dxa" w:w="2160"/>
          </w:tcPr>
          <w:p>
            <w:r>
              <w:rPr>
                <w:rFonts w:ascii="Calibri" w:hAnsi="Calibri"/>
                <w:sz w:val="22"/>
              </w:rPr>
              <w:t>Explicit mention of "business jet platforms" in demand commentary is a positive read-through for Gulfstream’s aftermarket services (Jet Aviation) and new aircraft demand</w:t>
            </w:r>
          </w:p>
        </w:tc>
      </w:tr>
      <w:tr>
        <w:tc>
          <w:tcPr>
            <w:tcW w:type="dxa" w:w="2160"/>
          </w:tcPr>
          <w:p>
            <w:r>
              <w:rPr>
                <w:rFonts w:ascii="Calibri" w:hAnsi="Calibri"/>
                <w:sz w:val="22"/>
              </w:rPr>
              <w:t>Supply Chain</w:t>
            </w:r>
          </w:p>
        </w:tc>
        <w:tc>
          <w:tcPr>
            <w:tcW w:type="dxa" w:w="2160"/>
          </w:tcPr>
          <w:p>
            <w:r>
              <w:rPr>
                <w:rFonts w:ascii="Calibri" w:hAnsi="Calibri"/>
                <w:sz w:val="22"/>
              </w:rPr>
              <w:t>"12 consecutive quarters of material growth" at Raytheon; qualified 150 new suppliers in 2025; rocket motors, castings, and microelectronics remain constrained value streams; multiyear agreements critical for suppliers to invest</w:t>
            </w:r>
          </w:p>
        </w:tc>
        <w:tc>
          <w:tcPr>
            <w:tcW w:type="dxa" w:w="2160"/>
          </w:tcPr>
          <w:p>
            <w:r>
              <w:rPr>
                <w:rFonts w:ascii="Calibri" w:hAnsi="Calibri"/>
                <w:sz w:val="22"/>
              </w:rPr>
              <w:t>INDIRECT — Mixed</w:t>
            </w:r>
          </w:p>
        </w:tc>
        <w:tc>
          <w:tcPr>
            <w:tcW w:type="dxa" w:w="2160"/>
          </w:tcPr>
          <w:p>
            <w:r>
              <w:rPr>
                <w:rFonts w:ascii="Calibri" w:hAnsi="Calibri"/>
                <w:sz w:val="22"/>
              </w:rPr>
              <w:t>Supply chain improving but not fully resolved; GD’s Marine Systems (sole-source suppliers for complex submarine components) and Aerospace (G280 Israeli supply chain) face similar constraints</w:t>
            </w:r>
          </w:p>
        </w:tc>
      </w:tr>
    </w:tbl>
    <w:p>
      <w:pPr>
        <w:pStyle w:val="Heading3"/>
      </w:pPr>
      <w:r>
        <w:rPr>
          <w:rFonts w:ascii="Calibri" w:hAnsi="Calibri"/>
          <w:b/>
          <w:color w:val="3B4259"/>
          <w:sz w:val="24"/>
        </w:rPr>
        <w:t>8.3 Northrop Grumman (NOC) — Q2 2026 Earnings Call (July 21, 2026)</w:t>
      </w:r>
    </w:p>
    <w:p>
      <w:r>
        <w:rPr>
          <w:rFonts w:ascii="Calibri" w:hAnsi="Calibri"/>
          <w:b/>
          <w:color w:val="525866"/>
          <w:sz w:val="22"/>
        </w:rPr>
        <w:t xml:space="preserve">Relevance to GD: </w:t>
      </w:r>
      <w:r>
        <w:rPr>
          <w:rFonts w:ascii="Calibri" w:hAnsi="Calibri"/>
          <w:color w:val="525866"/>
          <w:sz w:val="22"/>
        </w:rPr>
        <w:t>NOC’s Defense Systems and Marine segments overlap with GD’s Combat Systems and Marine Systems; NOC’s nuclear Navy propulsion work is a direct read-through for GD’s Electric Boat.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NOC Commentary (Q2 2026)</w:t>
            </w:r>
          </w:p>
        </w:tc>
        <w:tc>
          <w:tcPr>
            <w:tcW w:type="dxa" w:w="2160"/>
            <w:shd w:val="clear" w:color="auto" w:fill="3B4259"/>
          </w:tcPr>
          <w:p>
            <w:r>
              <w:rPr>
                <w:rFonts w:ascii="Calibri" w:hAnsi="Calibri"/>
                <w:b/>
                <w:color w:val="FFFFFF"/>
                <w:sz w:val="22"/>
              </w:rPr>
              <w:t>Read-Through Type</w:t>
            </w:r>
          </w:p>
        </w:tc>
        <w:tc>
          <w:tcPr>
            <w:tcW w:type="dxa" w:w="2160"/>
            <w:shd w:val="clear" w:color="auto" w:fill="3B4259"/>
          </w:tcPr>
          <w:p>
            <w:r>
              <w:rPr>
                <w:rFonts w:ascii="Calibri" w:hAnsi="Calibri"/>
                <w:b/>
                <w:color w:val="FFFFFF"/>
                <w:sz w:val="22"/>
              </w:rPr>
              <w:t>Implication for GD</w:t>
            </w:r>
          </w:p>
        </w:tc>
      </w:tr>
      <w:tr>
        <w:tc>
          <w:tcPr>
            <w:tcW w:type="dxa" w:w="2160"/>
          </w:tcPr>
          <w:p>
            <w:r>
              <w:rPr>
                <w:rFonts w:ascii="Calibri" w:hAnsi="Calibri"/>
                <w:sz w:val="22"/>
              </w:rPr>
              <w:t>Defense Demand &amp; Backlog</w:t>
            </w:r>
          </w:p>
        </w:tc>
        <w:tc>
          <w:tcPr>
            <w:tcW w:type="dxa" w:w="2160"/>
          </w:tcPr>
          <w:p>
            <w:r>
              <w:rPr>
                <w:rFonts w:ascii="Calibri" w:hAnsi="Calibri"/>
                <w:sz w:val="22"/>
              </w:rPr>
              <w:t>$20B in net awards in Q2; book-to-bill of 1.84x; backlog at record $105B (+17% YoY); now expects full-year book-to-bill of at least 1.25x; "bipartisan support for defense investment" and "unprecedented levels of defense investment as allies accelerate modernization"</w:t>
            </w:r>
          </w:p>
        </w:tc>
        <w:tc>
          <w:tcPr>
            <w:tcW w:type="dxa" w:w="2160"/>
          </w:tcPr>
          <w:p>
            <w:r>
              <w:rPr>
                <w:rFonts w:ascii="Calibri" w:hAnsi="Calibri"/>
                <w:sz w:val="22"/>
              </w:rPr>
              <w:t>DIRECT — Positive</w:t>
            </w:r>
          </w:p>
        </w:tc>
        <w:tc>
          <w:tcPr>
            <w:tcW w:type="dxa" w:w="2160"/>
          </w:tcPr>
          <w:p>
            <w:r>
              <w:rPr>
                <w:rFonts w:ascii="Calibri" w:hAnsi="Calibri"/>
                <w:sz w:val="22"/>
              </w:rPr>
              <w:t>Confirms the broad-based defense demand environment; GD’s record $130.8B backlog as of Q1 2026 is consistent with this industry-wide trend</w:t>
            </w:r>
          </w:p>
        </w:tc>
      </w:tr>
      <w:tr>
        <w:tc>
          <w:tcPr>
            <w:tcW w:type="dxa" w:w="2160"/>
          </w:tcPr>
          <w:p>
            <w:r>
              <w:rPr>
                <w:rFonts w:ascii="Calibri" w:hAnsi="Calibri"/>
                <w:sz w:val="22"/>
              </w:rPr>
              <w:t>Nuclear Navy / Marine</w:t>
            </w:r>
          </w:p>
        </w:tc>
        <w:tc>
          <w:tcPr>
            <w:tcW w:type="dxa" w:w="2160"/>
          </w:tcPr>
          <w:p>
            <w:r>
              <w:rPr>
                <w:rFonts w:ascii="Calibri" w:hAnsi="Calibri"/>
                <w:sz w:val="22"/>
              </w:rPr>
              <w:t>Nuclear Navy propulsion is the "biggest growth driver" in NOC’s marine business; delivering first low-rate initial production units with plans to scale through this and next decade; team "executing very well to drive schedule improvement and improve margins"</w:t>
            </w:r>
          </w:p>
        </w:tc>
        <w:tc>
          <w:tcPr>
            <w:tcW w:type="dxa" w:w="2160"/>
          </w:tcPr>
          <w:p>
            <w:r>
              <w:rPr>
                <w:rFonts w:ascii="Calibri" w:hAnsi="Calibri"/>
                <w:sz w:val="22"/>
              </w:rPr>
              <w:t>DIRECT — Positive</w:t>
            </w:r>
          </w:p>
        </w:tc>
        <w:tc>
          <w:tcPr>
            <w:tcW w:type="dxa" w:w="2160"/>
          </w:tcPr>
          <w:p>
            <w:r>
              <w:rPr>
                <w:rFonts w:ascii="Calibri" w:hAnsi="Calibri"/>
                <w:sz w:val="22"/>
              </w:rPr>
              <w:t>Directly validates GD’s Electric Boat (Columbia/Virginia class) growth story; NOC’s improving schedule and margin performance in nuclear Navy work is a positive signal for GD’s Marine Systems throughput trajectory</w:t>
            </w:r>
          </w:p>
        </w:tc>
      </w:tr>
      <w:tr>
        <w:tc>
          <w:tcPr>
            <w:tcW w:type="dxa" w:w="2160"/>
          </w:tcPr>
          <w:p>
            <w:r>
              <w:rPr>
                <w:rFonts w:ascii="Calibri" w:hAnsi="Calibri"/>
                <w:sz w:val="22"/>
              </w:rPr>
              <w:t>Munitions &amp; International Demand</w:t>
            </w:r>
          </w:p>
        </w:tc>
        <w:tc>
          <w:tcPr>
            <w:tcW w:type="dxa" w:w="2160"/>
          </w:tcPr>
          <w:p>
            <w:r>
              <w:rPr>
                <w:rFonts w:ascii="Calibri" w:hAnsi="Calibri"/>
                <w:sz w:val="22"/>
              </w:rPr>
              <w:t>H2 revenues expected to step up $700M+ driven by "higher ammunition sales"; 10 multiyear agreements for missile acceleration representing up to $10B in sales over 7 years; FMS cases approved at "much more rapid rate"</w:t>
            </w:r>
          </w:p>
        </w:tc>
        <w:tc>
          <w:tcPr>
            <w:tcW w:type="dxa" w:w="2160"/>
          </w:tcPr>
          <w:p>
            <w:r>
              <w:rPr>
                <w:rFonts w:ascii="Calibri" w:hAnsi="Calibri"/>
                <w:sz w:val="22"/>
              </w:rPr>
              <w:t>DIRECT — Positive</w:t>
            </w:r>
          </w:p>
        </w:tc>
        <w:tc>
          <w:tcPr>
            <w:tcW w:type="dxa" w:w="2160"/>
          </w:tcPr>
          <w:p>
            <w:r>
              <w:rPr>
                <w:rFonts w:ascii="Calibri" w:hAnsi="Calibri"/>
                <w:sz w:val="22"/>
              </w:rPr>
              <w:t>GD’s munitions and ordnance business (Ordnance &amp; Tactical Systems) is experiencing the same demand acceleration; faster FMS approvals benefit GD’s international Combat Systems sales</w:t>
            </w:r>
          </w:p>
        </w:tc>
      </w:tr>
      <w:tr>
        <w:tc>
          <w:tcPr>
            <w:tcW w:type="dxa" w:w="2160"/>
          </w:tcPr>
          <w:p>
            <w:r>
              <w:rPr>
                <w:rFonts w:ascii="Calibri" w:hAnsi="Calibri"/>
                <w:sz w:val="22"/>
              </w:rPr>
              <w:t>FY2026 Sales Guidance</w:t>
            </w:r>
          </w:p>
        </w:tc>
        <w:tc>
          <w:tcPr>
            <w:tcW w:type="dxa" w:w="2160"/>
          </w:tcPr>
          <w:p>
            <w:r>
              <w:rPr>
                <w:rFonts w:ascii="Calibri" w:hAnsi="Calibri"/>
                <w:sz w:val="22"/>
              </w:rPr>
              <w:t>Raised FY2026 sales guidance to $43.75–$44.25B; expects mid-to-high single-digit YoY sales growth in Q3; "second half step-up in sales similar to last year’s profile"</w:t>
            </w:r>
          </w:p>
        </w:tc>
        <w:tc>
          <w:tcPr>
            <w:tcW w:type="dxa" w:w="2160"/>
          </w:tcPr>
          <w:p>
            <w:r>
              <w:rPr>
                <w:rFonts w:ascii="Calibri" w:hAnsi="Calibri"/>
                <w:sz w:val="22"/>
              </w:rPr>
              <w:t>INDIRECT — Positive</w:t>
            </w:r>
          </w:p>
        </w:tc>
        <w:tc>
          <w:tcPr>
            <w:tcW w:type="dxa" w:w="2160"/>
          </w:tcPr>
          <w:p>
            <w:r>
              <w:rPr>
                <w:rFonts w:ascii="Calibri" w:hAnsi="Calibri"/>
                <w:sz w:val="22"/>
              </w:rPr>
              <w:t>Industry-wide H2 acceleration is consistent with GD’s own guidance that Q3/Q4 will be the strongest delivery quarters for Aerospace and the highest revenue quarters overall</w:t>
            </w:r>
          </w:p>
        </w:tc>
      </w:tr>
    </w:tbl>
    <w:p>
      <w:pPr>
        <w:pStyle w:val="Heading3"/>
      </w:pPr>
      <w:r>
        <w:rPr>
          <w:rFonts w:ascii="Calibri" w:hAnsi="Calibri"/>
          <w:b/>
          <w:color w:val="3B4259"/>
          <w:sz w:val="24"/>
        </w:rPr>
        <w:t>8.4 GE Aerospace — Q2 2026 Earnings Call (July 16, 2026)</w:t>
      </w:r>
    </w:p>
    <w:p>
      <w:r>
        <w:rPr>
          <w:rFonts w:ascii="Calibri" w:hAnsi="Calibri"/>
          <w:b/>
          <w:color w:val="525866"/>
          <w:sz w:val="22"/>
        </w:rPr>
        <w:t xml:space="preserve">Relevance to GD: </w:t>
      </w:r>
      <w:r>
        <w:rPr>
          <w:rFonts w:ascii="Calibri" w:hAnsi="Calibri"/>
          <w:color w:val="525866"/>
          <w:sz w:val="22"/>
        </w:rPr>
        <w:t>GE Aerospace is a key read-through for Gulfstream’s demand environment (GE/CFM engines power some Gulfstream platforms) and for the broader commercial aerospace aftermarket that supports Jet Aviation.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GE Aerospace Commentary (Q2 2026)</w:t>
            </w:r>
          </w:p>
        </w:tc>
        <w:tc>
          <w:tcPr>
            <w:tcW w:type="dxa" w:w="2160"/>
            <w:shd w:val="clear" w:color="auto" w:fill="3B4259"/>
          </w:tcPr>
          <w:p>
            <w:r>
              <w:rPr>
                <w:rFonts w:ascii="Calibri" w:hAnsi="Calibri"/>
                <w:b/>
                <w:color w:val="FFFFFF"/>
                <w:sz w:val="22"/>
              </w:rPr>
              <w:t>Read-Through Type</w:t>
            </w:r>
          </w:p>
        </w:tc>
        <w:tc>
          <w:tcPr>
            <w:tcW w:type="dxa" w:w="2160"/>
            <w:shd w:val="clear" w:color="auto" w:fill="3B4259"/>
          </w:tcPr>
          <w:p>
            <w:r>
              <w:rPr>
                <w:rFonts w:ascii="Calibri" w:hAnsi="Calibri"/>
                <w:b/>
                <w:color w:val="FFFFFF"/>
                <w:sz w:val="22"/>
              </w:rPr>
              <w:t>Implication for GD</w:t>
            </w:r>
          </w:p>
        </w:tc>
      </w:tr>
      <w:tr>
        <w:tc>
          <w:tcPr>
            <w:tcW w:type="dxa" w:w="2160"/>
          </w:tcPr>
          <w:p>
            <w:r>
              <w:rPr>
                <w:rFonts w:ascii="Calibri" w:hAnsi="Calibri"/>
                <w:sz w:val="22"/>
              </w:rPr>
              <w:t>Aerospace Demand</w:t>
            </w:r>
          </w:p>
        </w:tc>
        <w:tc>
          <w:tcPr>
            <w:tcW w:type="dxa" w:w="2160"/>
          </w:tcPr>
          <w:p>
            <w:r>
              <w:rPr>
                <w:rFonts w:ascii="Calibri" w:hAnsi="Calibri"/>
                <w:sz w:val="22"/>
              </w:rPr>
              <w:t>"We do not have a demand problem"; orders up 17% with both commercial and defense segments up at least low double digits; demand "far more resilient than many would have expected" despite dynamic macro environment; CEO Culp: "sold out into the early 2030s"</w:t>
            </w:r>
          </w:p>
        </w:tc>
        <w:tc>
          <w:tcPr>
            <w:tcW w:type="dxa" w:w="2160"/>
          </w:tcPr>
          <w:p>
            <w:r>
              <w:rPr>
                <w:rFonts w:ascii="Calibri" w:hAnsi="Calibri"/>
                <w:sz w:val="22"/>
              </w:rPr>
              <w:t>INDIRECT — Positive</w:t>
            </w:r>
          </w:p>
        </w:tc>
        <w:tc>
          <w:tcPr>
            <w:tcW w:type="dxa" w:w="2160"/>
          </w:tcPr>
          <w:p>
            <w:r>
              <w:rPr>
                <w:rFonts w:ascii="Calibri" w:hAnsi="Calibri"/>
                <w:sz w:val="22"/>
              </w:rPr>
              <w:t>Broad aerospace demand resilience is a positive backdrop for Gulfstream’s order intake and backlog; business aviation demand has historically tracked commercial aerospace sentiment</w:t>
            </w:r>
          </w:p>
        </w:tc>
      </w:tr>
      <w:tr>
        <w:tc>
          <w:tcPr>
            <w:tcW w:type="dxa" w:w="2160"/>
          </w:tcPr>
          <w:p>
            <w:r>
              <w:rPr>
                <w:rFonts w:ascii="Calibri" w:hAnsi="Calibri"/>
                <w:sz w:val="22"/>
              </w:rPr>
              <w:t>Aftermarket / Services</w:t>
            </w:r>
          </w:p>
        </w:tc>
        <w:tc>
          <w:tcPr>
            <w:tcW w:type="dxa" w:w="2160"/>
          </w:tcPr>
          <w:p>
            <w:r>
              <w:rPr>
                <w:rFonts w:ascii="Calibri" w:hAnsi="Calibri"/>
                <w:sz w:val="22"/>
              </w:rPr>
              <w:t>Commercial services revenue up 32% in H1 2026; "aftermarket demand has been resilient"; MRO footprint "40% oversubscribed"; commercial services backlog of ~$170B (up ~$30B since end of 2024)</w:t>
            </w:r>
          </w:p>
        </w:tc>
        <w:tc>
          <w:tcPr>
            <w:tcW w:type="dxa" w:w="2160"/>
          </w:tcPr>
          <w:p>
            <w:r>
              <w:rPr>
                <w:rFonts w:ascii="Calibri" w:hAnsi="Calibri"/>
                <w:sz w:val="22"/>
              </w:rPr>
              <w:t>INDIRECT — Positive</w:t>
            </w:r>
          </w:p>
        </w:tc>
        <w:tc>
          <w:tcPr>
            <w:tcW w:type="dxa" w:w="2160"/>
          </w:tcPr>
          <w:p>
            <w:r>
              <w:rPr>
                <w:rFonts w:ascii="Calibri" w:hAnsi="Calibri"/>
                <w:sz w:val="22"/>
              </w:rPr>
              <w:t>Strong aftermarket demand and oversubscribed MRO capacity is a positive read-through for Gulfstream’s Jet Aviation services business, which benefits from the same high fleet utilization and aging aircraft dynamics</w:t>
            </w:r>
          </w:p>
        </w:tc>
      </w:tr>
      <w:tr>
        <w:tc>
          <w:tcPr>
            <w:tcW w:type="dxa" w:w="2160"/>
          </w:tcPr>
          <w:p>
            <w:r>
              <w:rPr>
                <w:rFonts w:ascii="Calibri" w:hAnsi="Calibri"/>
                <w:sz w:val="22"/>
              </w:rPr>
              <w:t>Supply Chain</w:t>
            </w:r>
          </w:p>
        </w:tc>
        <w:tc>
          <w:tcPr>
            <w:tcW w:type="dxa" w:w="2160"/>
          </w:tcPr>
          <w:p>
            <w:r>
              <w:rPr>
                <w:rFonts w:ascii="Calibri" w:hAnsi="Calibri"/>
                <w:sz w:val="22"/>
              </w:rPr>
              <w:t>"Much more supply side challenge than demand"; spare parts delinquency grew 20% sequentially in Q2 due to material availability constraints; however, 9 consecutive quarters of double-digit increases from critical suppliers</w:t>
            </w:r>
          </w:p>
        </w:tc>
        <w:tc>
          <w:tcPr>
            <w:tcW w:type="dxa" w:w="2160"/>
          </w:tcPr>
          <w:p>
            <w:r>
              <w:rPr>
                <w:rFonts w:ascii="Calibri" w:hAnsi="Calibri"/>
                <w:sz w:val="22"/>
              </w:rPr>
              <w:t>INDIRECT — Mixed</w:t>
            </w:r>
          </w:p>
        </w:tc>
        <w:tc>
          <w:tcPr>
            <w:tcW w:type="dxa" w:w="2160"/>
          </w:tcPr>
          <w:p>
            <w:r>
              <w:rPr>
                <w:rFonts w:ascii="Calibri" w:hAnsi="Calibri"/>
                <w:sz w:val="22"/>
              </w:rPr>
              <w:t>Supply chain constraints remain a watch item for Gulfstream’s production ramp; GD management flagged similar dynamics in Q1 (supply chain is the binding constraint on Aerospace production rate increases)</w:t>
            </w:r>
          </w:p>
        </w:tc>
      </w:tr>
      <w:tr>
        <w:tc>
          <w:tcPr>
            <w:tcW w:type="dxa" w:w="2160"/>
          </w:tcPr>
          <w:p>
            <w:r>
              <w:rPr>
                <w:rFonts w:ascii="Calibri" w:hAnsi="Calibri"/>
                <w:sz w:val="22"/>
              </w:rPr>
              <w:t>Tariffs</w:t>
            </w:r>
          </w:p>
        </w:tc>
        <w:tc>
          <w:tcPr>
            <w:tcW w:type="dxa" w:w="2160"/>
          </w:tcPr>
          <w:p>
            <w:r>
              <w:rPr>
                <w:rFonts w:ascii="Calibri" w:hAnsi="Calibri"/>
                <w:sz w:val="22"/>
              </w:rPr>
              <w:t>$100M tariff refund received in Q2; free cash flow benefited from "year-over-year favorability from tariffs"</w:t>
            </w:r>
          </w:p>
        </w:tc>
        <w:tc>
          <w:tcPr>
            <w:tcW w:type="dxa" w:w="2160"/>
          </w:tcPr>
          <w:p>
            <w:r>
              <w:rPr>
                <w:rFonts w:ascii="Calibri" w:hAnsi="Calibri"/>
                <w:sz w:val="22"/>
              </w:rPr>
              <w:t>INDIRECT — Positive</w:t>
            </w:r>
          </w:p>
        </w:tc>
        <w:tc>
          <w:tcPr>
            <w:tcW w:type="dxa" w:w="2160"/>
          </w:tcPr>
          <w:p>
            <w:r>
              <w:rPr>
                <w:rFonts w:ascii="Calibri" w:hAnsi="Calibri"/>
                <w:sz w:val="22"/>
              </w:rPr>
              <w:t>GD management noted only a "very modest amount" of tariff recovery in Q1; any IEEPA tariff refunds in Q2 could provide a modest FCF tailwind, consistent with GE’s experience</w:t>
            </w:r>
          </w:p>
        </w:tc>
      </w:tr>
    </w:tbl>
    <w:p>
      <w:pPr>
        <w:pStyle w:val="Heading3"/>
      </w:pPr>
      <w:r>
        <w:rPr>
          <w:rFonts w:ascii="Calibri" w:hAnsi="Calibri"/>
          <w:b/>
          <w:color w:val="3B4259"/>
          <w:sz w:val="24"/>
        </w:rPr>
        <w:t>8.5 Textron Aviation (TXT) — Q2 2026 Earnings Call (July 28, 2026)</w:t>
      </w:r>
    </w:p>
    <w:p>
      <w:r>
        <w:rPr>
          <w:rFonts w:ascii="Calibri" w:hAnsi="Calibri"/>
          <w:b/>
          <w:color w:val="525866"/>
          <w:sz w:val="22"/>
        </w:rPr>
        <w:t xml:space="preserve">Relevance to GD: </w:t>
      </w:r>
      <w:r>
        <w:rPr>
          <w:rFonts w:ascii="Calibri" w:hAnsi="Calibri"/>
          <w:color w:val="525866"/>
          <w:sz w:val="22"/>
        </w:rPr>
        <w:t>Textron Aviation (Citation jets, King Air turboprops) is Gulfstream’s closest publicly-reported business aviation peer. TXT’s Q2 2026 results provide the most direct read-through for Gulfstream’s demand, supply chain, and workforce dynamics.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Textron Aviation Commentary (Q2 2026)</w:t>
            </w:r>
          </w:p>
        </w:tc>
        <w:tc>
          <w:tcPr>
            <w:tcW w:type="dxa" w:w="2160"/>
            <w:shd w:val="clear" w:color="auto" w:fill="3B4259"/>
          </w:tcPr>
          <w:p>
            <w:r>
              <w:rPr>
                <w:rFonts w:ascii="Calibri" w:hAnsi="Calibri"/>
                <w:b/>
                <w:color w:val="FFFFFF"/>
                <w:sz w:val="22"/>
              </w:rPr>
              <w:t>Read-Through Type</w:t>
            </w:r>
          </w:p>
        </w:tc>
        <w:tc>
          <w:tcPr>
            <w:tcW w:type="dxa" w:w="2160"/>
            <w:shd w:val="clear" w:color="auto" w:fill="3B4259"/>
          </w:tcPr>
          <w:p>
            <w:r>
              <w:rPr>
                <w:rFonts w:ascii="Calibri" w:hAnsi="Calibri"/>
                <w:b/>
                <w:color w:val="FFFFFF"/>
                <w:sz w:val="22"/>
              </w:rPr>
              <w:t>Implication for GD / Gulfstream</w:t>
            </w:r>
          </w:p>
        </w:tc>
      </w:tr>
      <w:tr>
        <w:tc>
          <w:tcPr>
            <w:tcW w:type="dxa" w:w="2160"/>
          </w:tcPr>
          <w:p>
            <w:r>
              <w:rPr>
                <w:rFonts w:ascii="Calibri" w:hAnsi="Calibri"/>
                <w:sz w:val="22"/>
              </w:rPr>
              <w:t>Business Aviation Demand</w:t>
            </w:r>
          </w:p>
        </w:tc>
        <w:tc>
          <w:tcPr>
            <w:tcW w:type="dxa" w:w="2160"/>
          </w:tcPr>
          <w:p>
            <w:r>
              <w:rPr>
                <w:rFonts w:ascii="Calibri" w:hAnsi="Calibri"/>
                <w:sz w:val="22"/>
              </w:rPr>
              <w:t>"Customer demand remains very strong. Simply put, people want our products and we have multiyear backlogs in many areas"; aviation backlog of $8B; "healthy commercial and military demand environments"</w:t>
            </w:r>
          </w:p>
        </w:tc>
        <w:tc>
          <w:tcPr>
            <w:tcW w:type="dxa" w:w="2160"/>
          </w:tcPr>
          <w:p>
            <w:r>
              <w:rPr>
                <w:rFonts w:ascii="Calibri" w:hAnsi="Calibri"/>
                <w:sz w:val="22"/>
              </w:rPr>
              <w:t>DIRECT — Positive</w:t>
            </w:r>
          </w:p>
        </w:tc>
        <w:tc>
          <w:tcPr>
            <w:tcW w:type="dxa" w:w="2160"/>
          </w:tcPr>
          <w:p>
            <w:r>
              <w:rPr>
                <w:rFonts w:ascii="Calibri" w:hAnsi="Calibri"/>
                <w:sz w:val="22"/>
              </w:rPr>
              <w:t>Confirms robust business aviation demand environment; Gulfstream’s trailing 12-month book-to-bill of 1.3x as of Q1 2026 is consistent with Textron’s commentary; multiyear backlogs across the industry support GD’s delivery ramp</w:t>
            </w:r>
          </w:p>
        </w:tc>
      </w:tr>
      <w:tr>
        <w:tc>
          <w:tcPr>
            <w:tcW w:type="dxa" w:w="2160"/>
          </w:tcPr>
          <w:p>
            <w:r>
              <w:rPr>
                <w:rFonts w:ascii="Calibri" w:hAnsi="Calibri"/>
                <w:sz w:val="22"/>
              </w:rPr>
              <w:t>Deliveries &amp; Volume</w:t>
            </w:r>
          </w:p>
        </w:tc>
        <w:tc>
          <w:tcPr>
            <w:tcW w:type="dxa" w:w="2160"/>
          </w:tcPr>
          <w:p>
            <w:r>
              <w:rPr>
                <w:rFonts w:ascii="Calibri" w:hAnsi="Calibri"/>
                <w:sz w:val="22"/>
              </w:rPr>
              <w:t>Delivered 40 jets and 44 turboprops in Q2 (vs. 49 jets in Q2 2025); decrease driven by "lower CitationJet and defense volume"; targeting equilibrium of 200 jets/year with improvement expected "towards middle/late 2027"</w:t>
            </w:r>
          </w:p>
        </w:tc>
        <w:tc>
          <w:tcPr>
            <w:tcW w:type="dxa" w:w="2160"/>
          </w:tcPr>
          <w:p>
            <w:r>
              <w:rPr>
                <w:rFonts w:ascii="Calibri" w:hAnsi="Calibri"/>
                <w:sz w:val="22"/>
              </w:rPr>
              <w:t>INDIRECT — Neutral</w:t>
            </w:r>
          </w:p>
        </w:tc>
        <w:tc>
          <w:tcPr>
            <w:tcW w:type="dxa" w:w="2160"/>
          </w:tcPr>
          <w:p>
            <w:r>
              <w:rPr>
                <w:rFonts w:ascii="Calibri" w:hAnsi="Calibri"/>
                <w:sz w:val="22"/>
              </w:rPr>
              <w:t>Textron’s delivery decline is product-mix specific (CitationJet, not large-cabin); Gulfstream operates in the large/ultra-large cabin segment where demand is structurally stronger; GD guided Q2 deliveries "very similar to Q1" (38 units)</w:t>
            </w:r>
          </w:p>
        </w:tc>
      </w:tr>
      <w:tr>
        <w:tc>
          <w:tcPr>
            <w:tcW w:type="dxa" w:w="2160"/>
          </w:tcPr>
          <w:p>
            <w:r>
              <w:rPr>
                <w:rFonts w:ascii="Calibri" w:hAnsi="Calibri"/>
                <w:sz w:val="22"/>
              </w:rPr>
              <w:t>Supply Chain</w:t>
            </w:r>
          </w:p>
        </w:tc>
        <w:tc>
          <w:tcPr>
            <w:tcW w:type="dxa" w:w="2160"/>
          </w:tcPr>
          <w:p>
            <w:r>
              <w:rPr>
                <w:rFonts w:ascii="Calibri" w:hAnsi="Calibri"/>
                <w:sz w:val="22"/>
              </w:rPr>
              <w:t>"Supply chain has improved in most areas" but "still experience issues with some key components"; expanding dual sourcing initiatives; cross-company supply chain council initiated</w:t>
            </w:r>
          </w:p>
        </w:tc>
        <w:tc>
          <w:tcPr>
            <w:tcW w:type="dxa" w:w="2160"/>
          </w:tcPr>
          <w:p>
            <w:r>
              <w:rPr>
                <w:rFonts w:ascii="Calibri" w:hAnsi="Calibri"/>
                <w:sz w:val="22"/>
              </w:rPr>
              <w:t>DIRECT — Mixed</w:t>
            </w:r>
          </w:p>
        </w:tc>
        <w:tc>
          <w:tcPr>
            <w:tcW w:type="dxa" w:w="2160"/>
          </w:tcPr>
          <w:p>
            <w:r>
              <w:rPr>
                <w:rFonts w:ascii="Calibri" w:hAnsi="Calibri"/>
                <w:sz w:val="22"/>
              </w:rPr>
              <w:t>Confirms supply chain is the binding constraint on business aviation production rates — consistent with GD’s Q1 commentary that supply chain (not demand or capacity) limits Gulfstream’s production ramp</w:t>
            </w:r>
          </w:p>
        </w:tc>
      </w:tr>
      <w:tr>
        <w:tc>
          <w:tcPr>
            <w:tcW w:type="dxa" w:w="2160"/>
          </w:tcPr>
          <w:p>
            <w:r>
              <w:rPr>
                <w:rFonts w:ascii="Calibri" w:hAnsi="Calibri"/>
                <w:sz w:val="22"/>
              </w:rPr>
              <w:t>Workforce / Labor</w:t>
            </w:r>
          </w:p>
        </w:tc>
        <w:tc>
          <w:tcPr>
            <w:tcW w:type="dxa" w:w="2160"/>
          </w:tcPr>
          <w:p>
            <w:r>
              <w:rPr>
                <w:rFonts w:ascii="Calibri" w:hAnsi="Calibri"/>
                <w:sz w:val="22"/>
              </w:rPr>
              <w:t>~50% of workforce has less than 5 years of experience (vs. &lt;30% in 2019); attrition returned to normalized levels; productivity gains expected to "yield next year" as it takes "5–7 years" to fully season a factory worker</w:t>
            </w:r>
          </w:p>
        </w:tc>
        <w:tc>
          <w:tcPr>
            <w:tcW w:type="dxa" w:w="2160"/>
          </w:tcPr>
          <w:p>
            <w:r>
              <w:rPr>
                <w:rFonts w:ascii="Calibri" w:hAnsi="Calibri"/>
                <w:sz w:val="22"/>
              </w:rPr>
              <w:t>DIRECT — Mixed</w:t>
            </w:r>
          </w:p>
        </w:tc>
        <w:tc>
          <w:tcPr>
            <w:tcW w:type="dxa" w:w="2160"/>
          </w:tcPr>
          <w:p>
            <w:r>
              <w:rPr>
                <w:rFonts w:ascii="Calibri" w:hAnsi="Calibri"/>
                <w:sz w:val="22"/>
              </w:rPr>
              <w:t>Gulfstream faces the same workforce seasoning challenge; GD’s Q1 commentary on "durable productivity improvements" on G700/G800 suggests Gulfstream may be further along the learning curve than Textron Aviation</w:t>
            </w:r>
          </w:p>
        </w:tc>
      </w:tr>
      <w:tr>
        <w:tc>
          <w:tcPr>
            <w:tcW w:type="dxa" w:w="2160"/>
          </w:tcPr>
          <w:p>
            <w:r>
              <w:rPr>
                <w:rFonts w:ascii="Calibri" w:hAnsi="Calibri"/>
                <w:sz w:val="22"/>
              </w:rPr>
              <w:t>Aftermarket / Services</w:t>
            </w:r>
          </w:p>
        </w:tc>
        <w:tc>
          <w:tcPr>
            <w:tcW w:type="dxa" w:w="2160"/>
          </w:tcPr>
          <w:p>
            <w:r>
              <w:rPr>
                <w:rFonts w:ascii="Calibri" w:hAnsi="Calibri"/>
                <w:sz w:val="22"/>
              </w:rPr>
              <w:t>Higher aftermarket parts and service revenues in Q2; expanded global service footprint with new Melbourne facility; NetJets taking first five Ascend aircraft</w:t>
            </w:r>
          </w:p>
        </w:tc>
        <w:tc>
          <w:tcPr>
            <w:tcW w:type="dxa" w:w="2160"/>
          </w:tcPr>
          <w:p>
            <w:r>
              <w:rPr>
                <w:rFonts w:ascii="Calibri" w:hAnsi="Calibri"/>
                <w:sz w:val="22"/>
              </w:rPr>
              <w:t>DIRECT — Positive</w:t>
            </w:r>
          </w:p>
        </w:tc>
        <w:tc>
          <w:tcPr>
            <w:tcW w:type="dxa" w:w="2160"/>
          </w:tcPr>
          <w:p>
            <w:r>
              <w:rPr>
                <w:rFonts w:ascii="Calibri" w:hAnsi="Calibri"/>
                <w:sz w:val="22"/>
              </w:rPr>
              <w:t>Confirms healthy business aviation aftermarket; Gulfstream’s Jet Aviation services business should benefit from the same high fleet utilization and growing installed base</w:t>
            </w:r>
          </w:p>
        </w:tc>
      </w:tr>
    </w:tbl>
    <w:p>
      <w:pPr>
        <w:pStyle w:val="Heading3"/>
      </w:pPr>
      <w:r>
        <w:rPr>
          <w:rFonts w:ascii="Calibri" w:hAnsi="Calibri"/>
          <w:b/>
          <w:color w:val="3B4259"/>
          <w:sz w:val="24"/>
        </w:rPr>
        <w:t>8.6 RTX Bernstein Conference (May 29, 2026) — Forward-Looking Defense Commentary</w:t>
      </w:r>
    </w:p>
    <w:p>
      <w:r>
        <w:rPr>
          <w:rFonts w:ascii="Calibri" w:hAnsi="Calibri"/>
          <w:b/>
          <w:color w:val="525866"/>
          <w:sz w:val="22"/>
        </w:rPr>
        <w:t xml:space="preserve">Relevance to GD: </w:t>
      </w:r>
      <w:r>
        <w:rPr>
          <w:rFonts w:ascii="Calibri" w:hAnsi="Calibri"/>
          <w:color w:val="525866"/>
          <w:sz w:val="22"/>
        </w:rPr>
        <w:t>RTX CEO Christopher Calio’s comments at the Bernstein Strategic Decisions Conference (May 29, 2026) — issued after GD’s Q1 earnings — provide forward-looking defense demand context relevant to GD’s Q2 2026 reporting period.</w:t>
      </w:r>
    </w:p>
    <w:p>
      <w:pPr>
        <w:pStyle w:val="ListBullet"/>
        <w:ind w:left="360" w:hanging="360"/>
      </w:pPr>
      <w:r>
        <w:rPr>
          <w:rFonts w:ascii="Calibri" w:hAnsi="Calibri"/>
          <w:b/>
          <w:color w:val="525866"/>
          <w:sz w:val="22"/>
        </w:rPr>
        <w:t xml:space="preserve">Defense demand: </w:t>
      </w:r>
      <w:r>
        <w:rPr>
          <w:rFonts w:ascii="Calibri" w:hAnsi="Calibri"/>
          <w:color w:val="525866"/>
          <w:sz w:val="22"/>
        </w:rPr>
        <w:t xml:space="preserve">"Strong conviction around the demand on both sides of our business, commercial and defense"; customers "want more product and they want it faster"; proposed U.S. defense budget of $1.5T (base $1.15T) seen as "portending continued demand in defense both this year and in future years." </w:t>
      </w:r>
    </w:p>
    <w:p>
      <w:pPr>
        <w:pStyle w:val="ListBullet"/>
        <w:ind w:left="360" w:hanging="360"/>
      </w:pPr>
      <w:r>
        <w:rPr>
          <w:rFonts w:ascii="Calibri" w:hAnsi="Calibri"/>
          <w:b/>
          <w:color w:val="525866"/>
          <w:sz w:val="22"/>
        </w:rPr>
        <w:t xml:space="preserve">Munitions ramp: </w:t>
      </w:r>
      <w:r>
        <w:rPr>
          <w:rFonts w:ascii="Calibri" w:hAnsi="Calibri"/>
          <w:color w:val="525866"/>
          <w:sz w:val="22"/>
        </w:rPr>
        <w:t xml:space="preserve">Five framework agreements with the Pentagon (Tomahawk, AMRAAM, Standard Missile family) representing "7-year firm demand" and implying production ramp of "2 to 4x current rates" — not yet in backlog. </w:t>
      </w:r>
    </w:p>
    <w:p>
      <w:pPr>
        <w:pStyle w:val="ListBullet"/>
        <w:ind w:left="360" w:hanging="360"/>
      </w:pPr>
      <w:r>
        <w:rPr>
          <w:rFonts w:ascii="Calibri" w:hAnsi="Calibri"/>
          <w:b/>
          <w:color w:val="525866"/>
          <w:sz w:val="22"/>
        </w:rPr>
        <w:t xml:space="preserve">International demand: </w:t>
      </w:r>
      <w:r>
        <w:rPr>
          <w:rFonts w:ascii="Calibri" w:hAnsi="Calibri"/>
          <w:color w:val="525866"/>
          <w:sz w:val="22"/>
        </w:rPr>
        <w:t xml:space="preserve">30% of Raytheon sales are international; 48% of Raytheon backlog is international; "general bipartisan support for the need for larger munitions" regardless of U.S. budget fluctuations. </w:t>
      </w:r>
    </w:p>
    <w:p>
      <w:pPr>
        <w:pStyle w:val="ListBullet"/>
        <w:ind w:left="360" w:hanging="360"/>
      </w:pPr>
      <w:r>
        <w:rPr>
          <w:rFonts w:ascii="Calibri" w:hAnsi="Calibri"/>
          <w:b/>
          <w:color w:val="525866"/>
          <w:sz w:val="22"/>
        </w:rPr>
        <w:t xml:space="preserve">Supply chain: </w:t>
      </w:r>
      <w:r>
        <w:rPr>
          <w:rFonts w:ascii="Calibri" w:hAnsi="Calibri"/>
          <w:color w:val="525866"/>
          <w:sz w:val="22"/>
        </w:rPr>
        <w:t xml:space="preserve">Rocket motors identified as a "constrained value stream" requiring additional investment; castings and microelectronics also watch areas; multiyear agreements critical for suppliers to invest and increase rates. </w:t>
      </w:r>
    </w:p>
    <w:p>
      <w:pPr>
        <w:pStyle w:val="ListBullet"/>
        <w:ind w:left="360" w:hanging="360"/>
      </w:pPr>
      <w:r>
        <w:rPr>
          <w:rFonts w:ascii="Calibri" w:hAnsi="Calibri"/>
          <w:b/>
          <w:color w:val="525866"/>
          <w:sz w:val="22"/>
        </w:rPr>
        <w:t xml:space="preserve">GD Read-Through: </w:t>
      </w:r>
      <w:r>
        <w:rPr>
          <w:rFonts w:ascii="Calibri" w:hAnsi="Calibri"/>
          <w:i/>
          <w:color w:val="525866"/>
          <w:sz w:val="22"/>
        </w:rPr>
        <w:t>The framework agreement structure and 7-year demand visibility described by RTX is directly analogous to the long-term contract environment benefiting GD’s Combat Systems and Marine Systems; the supply chain constraints (rocket motors, castings) are relevant to GD’s munitions and submarine programs.</w:t>
      </w:r>
    </w:p>
    <w:p>
      <w:pPr>
        <w:pStyle w:val="Heading3"/>
      </w:pPr>
      <w:r>
        <w:rPr>
          <w:rFonts w:ascii="Calibri" w:hAnsi="Calibri"/>
          <w:b/>
          <w:color w:val="3B4259"/>
          <w:sz w:val="24"/>
        </w:rPr>
        <w:t>8.7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GD Segment</w:t>
            </w:r>
          </w:p>
        </w:tc>
        <w:tc>
          <w:tcPr>
            <w:tcW w:type="dxa" w:w="2160"/>
            <w:shd w:val="clear" w:color="auto" w:fill="3B4259"/>
          </w:tcPr>
          <w:p>
            <w:r>
              <w:rPr>
                <w:rFonts w:ascii="Calibri" w:hAnsi="Calibri"/>
                <w:b/>
                <w:color w:val="FFFFFF"/>
                <w:sz w:val="22"/>
              </w:rPr>
              <w:t>Key Peer 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Confidence</w:t>
            </w:r>
          </w:p>
        </w:tc>
      </w:tr>
      <w:tr>
        <w:tc>
          <w:tcPr>
            <w:tcW w:type="dxa" w:w="2160"/>
          </w:tcPr>
          <w:p>
            <w:r>
              <w:rPr>
                <w:rFonts w:ascii="Calibri" w:hAnsi="Calibri"/>
                <w:sz w:val="22"/>
              </w:rPr>
              <w:t>Aerospace (Gulfstream)</w:t>
            </w:r>
          </w:p>
        </w:tc>
        <w:tc>
          <w:tcPr>
            <w:tcW w:type="dxa" w:w="2160"/>
          </w:tcPr>
          <w:p>
            <w:r>
              <w:rPr>
                <w:rFonts w:ascii="Calibri" w:hAnsi="Calibri"/>
                <w:sz w:val="22"/>
              </w:rPr>
              <w:t>TXT: demand "very strong", multiyear backlogs; RTX: business jet platforms cited in demand commentary; GE: aftermarket resilient, MRO oversubscribed</w:t>
            </w:r>
          </w:p>
        </w:tc>
        <w:tc>
          <w:tcPr>
            <w:tcW w:type="dxa" w:w="2160"/>
          </w:tcPr>
          <w:p>
            <w:r>
              <w:rPr>
                <w:rFonts w:ascii="Calibri" w:hAnsi="Calibri"/>
                <w:b/>
                <w:color w:val="30A46C"/>
                <w:sz w:val="22"/>
              </w:rPr>
              <w:t>Positive</w:t>
            </w:r>
          </w:p>
        </w:tc>
        <w:tc>
          <w:tcPr>
            <w:tcW w:type="dxa" w:w="2160"/>
          </w:tcPr>
          <w:p>
            <w:r>
              <w:rPr>
                <w:rFonts w:ascii="Calibri" w:hAnsi="Calibri"/>
                <w:sz w:val="22"/>
              </w:rPr>
              <w:t>High</w:t>
            </w:r>
          </w:p>
        </w:tc>
      </w:tr>
      <w:tr>
        <w:tc>
          <w:tcPr>
            <w:tcW w:type="dxa" w:w="2160"/>
          </w:tcPr>
          <w:p>
            <w:r>
              <w:rPr>
                <w:rFonts w:ascii="Calibri" w:hAnsi="Calibri"/>
                <w:sz w:val="22"/>
              </w:rPr>
              <w:t>Marine Systems</w:t>
            </w:r>
          </w:p>
        </w:tc>
        <w:tc>
          <w:tcPr>
            <w:tcW w:type="dxa" w:w="2160"/>
          </w:tcPr>
          <w:p>
            <w:r>
              <w:rPr>
                <w:rFonts w:ascii="Calibri" w:hAnsi="Calibri"/>
                <w:sz w:val="22"/>
              </w:rPr>
              <w:t>NOC: nuclear Navy propulsion is "biggest growth driver"; RTX: naval program sales up 18%; LMT: undersea warfare demand "growing"; Navy FY27 budget request +40% YoY</w:t>
            </w:r>
          </w:p>
        </w:tc>
        <w:tc>
          <w:tcPr>
            <w:tcW w:type="dxa" w:w="2160"/>
          </w:tcPr>
          <w:p>
            <w:r>
              <w:rPr>
                <w:rFonts w:ascii="Calibri" w:hAnsi="Calibri"/>
                <w:b/>
                <w:color w:val="30A46C"/>
                <w:sz w:val="22"/>
              </w:rPr>
              <w:t>Positive</w:t>
            </w:r>
          </w:p>
        </w:tc>
        <w:tc>
          <w:tcPr>
            <w:tcW w:type="dxa" w:w="2160"/>
          </w:tcPr>
          <w:p>
            <w:r>
              <w:rPr>
                <w:rFonts w:ascii="Calibri" w:hAnsi="Calibri"/>
                <w:sz w:val="22"/>
              </w:rPr>
              <w:t>Very High</w:t>
            </w:r>
          </w:p>
        </w:tc>
      </w:tr>
      <w:tr>
        <w:tc>
          <w:tcPr>
            <w:tcW w:type="dxa" w:w="2160"/>
          </w:tcPr>
          <w:p>
            <w:r>
              <w:rPr>
                <w:rFonts w:ascii="Calibri" w:hAnsi="Calibri"/>
                <w:sz w:val="22"/>
              </w:rPr>
              <w:t>Combat Systems</w:t>
            </w:r>
          </w:p>
        </w:tc>
        <w:tc>
          <w:tcPr>
            <w:tcW w:type="dxa" w:w="2160"/>
          </w:tcPr>
          <w:p>
            <w:r>
              <w:rPr>
                <w:rFonts w:ascii="Calibri" w:hAnsi="Calibri"/>
                <w:sz w:val="22"/>
              </w:rPr>
              <w:t>LMT: MFC sales +19%, munitions ramp accelerating; RTX: Raytheon munitions output doubled; NOC: H2 revenues stepping up $700M+ on ammunition; Saab: 29.8% organic growth, B2B 2.71x</w:t>
            </w:r>
          </w:p>
        </w:tc>
        <w:tc>
          <w:tcPr>
            <w:tcW w:type="dxa" w:w="2160"/>
          </w:tcPr>
          <w:p>
            <w:r>
              <w:rPr>
                <w:rFonts w:ascii="Calibri" w:hAnsi="Calibri"/>
                <w:b/>
                <w:color w:val="30A46C"/>
                <w:sz w:val="22"/>
              </w:rPr>
              <w:t>Positive</w:t>
            </w:r>
          </w:p>
        </w:tc>
        <w:tc>
          <w:tcPr>
            <w:tcW w:type="dxa" w:w="2160"/>
          </w:tcPr>
          <w:p>
            <w:r>
              <w:rPr>
                <w:rFonts w:ascii="Calibri" w:hAnsi="Calibri"/>
                <w:sz w:val="22"/>
              </w:rPr>
              <w:t>Very High</w:t>
            </w:r>
          </w:p>
        </w:tc>
      </w:tr>
      <w:tr>
        <w:tc>
          <w:tcPr>
            <w:tcW w:type="dxa" w:w="2160"/>
          </w:tcPr>
          <w:p>
            <w:r>
              <w:rPr>
                <w:rFonts w:ascii="Calibri" w:hAnsi="Calibri"/>
                <w:sz w:val="22"/>
              </w:rPr>
              <w:t>Technologies</w:t>
            </w:r>
          </w:p>
        </w:tc>
        <w:tc>
          <w:tcPr>
            <w:tcW w:type="dxa" w:w="2160"/>
          </w:tcPr>
          <w:p>
            <w:r>
              <w:rPr>
                <w:rFonts w:ascii="Calibri" w:hAnsi="Calibri"/>
                <w:sz w:val="22"/>
              </w:rPr>
              <w:t>RTX: classified/confidential awards $4B+; NOC: national security space backlog $16B+; bipartisan support for cyber, AI, and mission systems spending</w:t>
            </w:r>
          </w:p>
        </w:tc>
        <w:tc>
          <w:tcPr>
            <w:tcW w:type="dxa" w:w="2160"/>
          </w:tcPr>
          <w:p>
            <w:r>
              <w:rPr>
                <w:rFonts w:ascii="Calibri" w:hAnsi="Calibri"/>
                <w:b/>
                <w:color w:val="30A46C"/>
                <w:sz w:val="22"/>
              </w:rPr>
              <w:t>Positive</w:t>
            </w:r>
          </w:p>
        </w:tc>
        <w:tc>
          <w:tcPr>
            <w:tcW w:type="dxa" w:w="2160"/>
          </w:tcPr>
          <w:p>
            <w:r>
              <w:rPr>
                <w:rFonts w:ascii="Calibri" w:hAnsi="Calibri"/>
                <w:sz w:val="22"/>
              </w:rPr>
              <w:t>Moderate</w:t>
            </w:r>
          </w:p>
        </w:tc>
      </w:tr>
      <w:tr>
        <w:tc>
          <w:tcPr>
            <w:tcW w:type="dxa" w:w="2160"/>
          </w:tcPr>
          <w:p>
            <w:r>
              <w:rPr>
                <w:rFonts w:ascii="Calibri" w:hAnsi="Calibri"/>
                <w:sz w:val="22"/>
              </w:rPr>
              <w:t>Supply Chain (All Segments)</w:t>
            </w:r>
          </w:p>
        </w:tc>
        <w:tc>
          <w:tcPr>
            <w:tcW w:type="dxa" w:w="2160"/>
          </w:tcPr>
          <w:p>
            <w:r>
              <w:rPr>
                <w:rFonts w:ascii="Calibri" w:hAnsi="Calibri"/>
                <w:sz w:val="22"/>
              </w:rPr>
              <w:t>TXT: "still experience issues with some key components"; GE: spare parts delinquency up 20% sequentially; RTX: rocket motors, castings remain constrained</w:t>
            </w:r>
          </w:p>
        </w:tc>
        <w:tc>
          <w:tcPr>
            <w:tcW w:type="dxa" w:w="2160"/>
          </w:tcPr>
          <w:p>
            <w:r>
              <w:rPr>
                <w:rFonts w:ascii="Calibri" w:hAnsi="Calibri"/>
                <w:b/>
                <w:color w:val="002FA7"/>
                <w:sz w:val="22"/>
              </w:rPr>
              <w:t>Mixed</w:t>
            </w:r>
          </w:p>
        </w:tc>
        <w:tc>
          <w:tcPr>
            <w:tcW w:type="dxa" w:w="2160"/>
          </w:tcPr>
          <w:p>
            <w:r>
              <w:rPr>
                <w:rFonts w:ascii="Calibri" w:hAnsi="Calibri"/>
                <w:sz w:val="22"/>
              </w:rPr>
              <w:t>High</w:t>
            </w:r>
          </w:p>
        </w:tc>
      </w:tr>
    </w:tbl>
    <w:p>
      <w:r>
        <w:br w:type="page"/>
      </w:r>
    </w:p>
    <w:p>
      <w:pPr>
        <w:pStyle w:val="Heading3"/>
      </w:pPr>
      <w:r>
        <w:rPr>
          <w:rFonts w:ascii="Calibri" w:hAnsi="Calibri"/>
          <w:b/>
          <w:color w:val="3B4259"/>
          <w:sz w:val="24"/>
        </w:rPr>
        <w:t>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actuals, segment financials, backlog, deliveries, and EPS data. Source: https://insights.visiblealpha.com/mex/GD/NMV/</w:t>
      </w:r>
    </w:p>
    <w:p>
      <w:pPr>
        <w:pStyle w:val="ListBullet"/>
        <w:ind w:left="360" w:hanging="360"/>
      </w:pPr>
      <w:r>
        <w:rPr>
          <w:rFonts w:ascii="Calibri" w:hAnsi="Calibri"/>
          <w:b/>
          <w:color w:val="525866"/>
          <w:sz w:val="22"/>
        </w:rPr>
        <w:t>Stock Price Data</w:t>
      </w:r>
      <w:r>
        <w:rPr>
          <w:rFonts w:ascii="Calibri" w:hAnsi="Calibri"/>
          <w:color w:val="525866"/>
          <w:sz w:val="22"/>
        </w:rPr>
        <w:t xml:space="preserve"> — GD, XLI, and SPY daily closing prices from April 29 through July 27, 2026. Source: Yahoo Finance.</w:t>
      </w:r>
    </w:p>
    <w:p>
      <w:pPr>
        <w:pStyle w:val="ListBullet"/>
        <w:ind w:left="360" w:hanging="360"/>
      </w:pPr>
      <w:r>
        <w:rPr>
          <w:rFonts w:ascii="Calibri" w:hAnsi="Calibri"/>
          <w:b/>
          <w:color w:val="525866"/>
          <w:sz w:val="22"/>
        </w:rPr>
        <w:t>SEC Form 4 Filings</w:t>
      </w:r>
      <w:r>
        <w:rPr>
          <w:rFonts w:ascii="Calibri" w:hAnsi="Calibri"/>
          <w:color w:val="525866"/>
          <w:sz w:val="22"/>
        </w:rPr>
        <w:t xml:space="preserve"> — Insider transaction data for GD. Source: https://www.sec.gov/</w:t>
      </w:r>
    </w:p>
    <w:p>
      <w:pPr>
        <w:pStyle w:val="ListBullet"/>
        <w:ind w:left="360" w:hanging="360"/>
      </w:pPr>
      <w:r>
        <w:rPr>
          <w:rFonts w:ascii="Calibri" w:hAnsi="Calibri"/>
          <w:b/>
          <w:color w:val="525866"/>
          <w:sz w:val="22"/>
        </w:rPr>
        <w:t>GD Q1 2026 Earnings Call Transcript &amp; Press Release</w:t>
      </w:r>
      <w:r>
        <w:rPr>
          <w:rFonts w:ascii="Calibri" w:hAnsi="Calibri"/>
          <w:color w:val="525866"/>
          <w:sz w:val="22"/>
        </w:rPr>
        <w:t xml:space="preserve"> — April 29, 2026. Source: General Dynamics IR / SEC EDGAR.</w:t>
      </w:r>
    </w:p>
    <w:p>
      <w:pPr>
        <w:pStyle w:val="ListBullet"/>
        <w:ind w:left="360" w:hanging="360"/>
      </w:pPr>
      <w:r>
        <w:rPr>
          <w:rFonts w:ascii="Calibri" w:hAnsi="Calibri"/>
          <w:b/>
          <w:color w:val="525866"/>
          <w:sz w:val="22"/>
        </w:rPr>
        <w:t>LMT Q2 2026 Earnings Call Transcript</w:t>
      </w:r>
      <w:r>
        <w:rPr>
          <w:rFonts w:ascii="Calibri" w:hAnsi="Calibri"/>
          <w:color w:val="525866"/>
          <w:sz w:val="22"/>
        </w:rPr>
        <w:t xml:space="preserve"> — July 23, 2026. Source: Lockheed Martin IR.</w:t>
      </w:r>
    </w:p>
    <w:p>
      <w:pPr>
        <w:pStyle w:val="ListBullet"/>
        <w:ind w:left="360" w:hanging="360"/>
      </w:pPr>
      <w:r>
        <w:rPr>
          <w:rFonts w:ascii="Calibri" w:hAnsi="Calibri"/>
          <w:b/>
          <w:color w:val="525866"/>
          <w:sz w:val="22"/>
        </w:rPr>
        <w:t>RTX Q2 2026 Earnings Call Transcript</w:t>
      </w:r>
      <w:r>
        <w:rPr>
          <w:rFonts w:ascii="Calibri" w:hAnsi="Calibri"/>
          <w:color w:val="525866"/>
          <w:sz w:val="22"/>
        </w:rPr>
        <w:t xml:space="preserve"> — July 23, 2026. Source: RTX Corporation IR.</w:t>
      </w:r>
    </w:p>
    <w:p>
      <w:pPr>
        <w:pStyle w:val="ListBullet"/>
        <w:ind w:left="360" w:hanging="360"/>
      </w:pPr>
      <w:r>
        <w:rPr>
          <w:rFonts w:ascii="Calibri" w:hAnsi="Calibri"/>
          <w:b/>
          <w:color w:val="525866"/>
          <w:sz w:val="22"/>
        </w:rPr>
        <w:t>NOC Q2 2026 Earnings Call Transcript</w:t>
      </w:r>
      <w:r>
        <w:rPr>
          <w:rFonts w:ascii="Calibri" w:hAnsi="Calibri"/>
          <w:color w:val="525866"/>
          <w:sz w:val="22"/>
        </w:rPr>
        <w:t xml:space="preserve"> — July 21, 2026. Source: Northrop Grumman IR.</w:t>
      </w:r>
    </w:p>
    <w:p>
      <w:pPr>
        <w:pStyle w:val="ListBullet"/>
        <w:ind w:left="360" w:hanging="360"/>
      </w:pPr>
      <w:r>
        <w:rPr>
          <w:rFonts w:ascii="Calibri" w:hAnsi="Calibri"/>
          <w:b/>
          <w:color w:val="525866"/>
          <w:sz w:val="22"/>
        </w:rPr>
        <w:t>GE Aerospace Q2 2026 Earnings Call Transcript</w:t>
      </w:r>
      <w:r>
        <w:rPr>
          <w:rFonts w:ascii="Calibri" w:hAnsi="Calibri"/>
          <w:color w:val="525866"/>
          <w:sz w:val="22"/>
        </w:rPr>
        <w:t xml:space="preserve"> — July 16, 2026. Source: GE Aerospace IR.</w:t>
      </w:r>
    </w:p>
    <w:p>
      <w:pPr>
        <w:pStyle w:val="ListBullet"/>
        <w:ind w:left="360" w:hanging="360"/>
      </w:pPr>
      <w:r>
        <w:rPr>
          <w:rFonts w:ascii="Calibri" w:hAnsi="Calibri"/>
          <w:b/>
          <w:color w:val="525866"/>
          <w:sz w:val="22"/>
        </w:rPr>
        <w:t>Textron Q2 2026 Earnings Call Transcript</w:t>
      </w:r>
      <w:r>
        <w:rPr>
          <w:rFonts w:ascii="Calibri" w:hAnsi="Calibri"/>
          <w:color w:val="525866"/>
          <w:sz w:val="22"/>
        </w:rPr>
        <w:t xml:space="preserve"> — July 28, 2026. Source: Textron IR.</w:t>
      </w:r>
    </w:p>
    <w:p>
      <w:pPr>
        <w:pStyle w:val="ListBullet"/>
        <w:ind w:left="360" w:hanging="360"/>
      </w:pPr>
      <w:r>
        <w:rPr>
          <w:rFonts w:ascii="Calibri" w:hAnsi="Calibri"/>
          <w:b/>
          <w:color w:val="525866"/>
          <w:sz w:val="22"/>
        </w:rPr>
        <w:t>RTX Bernstein Strategic Decisions Conference Transcript</w:t>
      </w:r>
      <w:r>
        <w:rPr>
          <w:rFonts w:ascii="Calibri" w:hAnsi="Calibri"/>
          <w:color w:val="525866"/>
          <w:sz w:val="22"/>
        </w:rPr>
        <w:t xml:space="preserve"> — May 29, 2026. Source: RTX Corporation IR.</w:t>
      </w:r>
    </w:p>
    <w:p>
      <w:pPr>
        <w:pStyle w:val="ListBullet"/>
        <w:ind w:left="360" w:hanging="360"/>
      </w:pPr>
      <w:r>
        <w:rPr>
          <w:rFonts w:ascii="Calibri" w:hAnsi="Calibri"/>
          <w:b/>
          <w:color w:val="525866"/>
          <w:sz w:val="22"/>
        </w:rPr>
        <w:t>News Digest / Daily News</w:t>
      </w:r>
      <w:r>
        <w:rPr>
          <w:rFonts w:ascii="Calibri" w:hAnsi="Calibri"/>
          <w:color w:val="525866"/>
          <w:sz w:val="22"/>
        </w:rPr>
        <w:t xml:space="preserve"> — Material news and developments sourced from Implied News Aggregator, SEC EDGAR, Reuters, WSJ, Bloomberg, and Washington Post.</w:t>
      </w:r>
    </w:p>
    <w:p>
      <w:r>
        <w:rPr>
          <w:rFonts w:ascii="Calibri" w:hAnsi="Calibri"/>
          <w:b/>
          <w:color w:val="525866"/>
          <w:sz w:val="22"/>
        </w:rPr>
        <w:t xml:space="preserve">Disclaimer: </w:t>
      </w:r>
      <w:r>
        <w:rPr>
          <w:rFonts w:ascii="Calibri" w:hAnsi="Calibri"/>
          <w:color w:val="525866"/>
          <w:sz w:val="22"/>
        </w:rPr>
        <w:t>This document is prepared for informational purposes only based on publicly available data as of July 28, 2026. All consensus estimates are sourced from Visible Alpha and reflect analyst expectations as of the preparation date. Actual results may differ materially from estimates. This is not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