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ddy-earnings-predictions--2026-07-30"/>
    <w:p>
      <w:pPr>
        <w:pStyle w:val="Heading1"/>
      </w:pPr>
      <w:r>
        <w:t xml:space="preserve">GDDY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1.305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1.295B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1.79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1.72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Bookings growth (Q2'26, the reacceleration proof)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~+7% vs. cons ~+5%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5.195</m:t>
              </m:r>
              <m:r>
                <m:rPr>
                  <m:sty m:val="p"/>
                </m:rPr>
                <m:t>−</m:t>
              </m:r>
              <m:r>
                <m:t>5.275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 </m:t>
              </m:r>
            </m:oMath>
            <w:r>
              <w:t xml:space="preserve">5.235B mid) vs. cons ~$5.23B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NEBITDA margin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&gt;33% vs. cons ~33%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1.80</m:t>
              </m:r>
              <m:r>
                <m:rPr>
                  <m:sty m:val="p"/>
                </m:rPr>
                <m:t>−</m:t>
              </m:r>
              <m:r>
                <m:t>1.85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1.80B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Revenue implied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1.31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1.31B (Q3'26)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A&amp;C segment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~low-double-digit ~+12% vs. cons ~+12% (Q2'26)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(FOLLOW-THROUGH)</w:t>
            </w:r>
          </w:p>
        </w:tc>
        <w:tc>
          <w:tcPr/>
          <w:p>
            <w:pPr>
              <w:pStyle w:val="Compact"/>
            </w:pPr>
            <w:r>
              <w:t xml:space="preserve">Stock ran ~+40% off the June low ($75 to $105.55, incl. +6.7% on 7/28) into the print, so the bar is reset high and a beat-and-reaffirm is a classic sell-the-news. Likely modest revenue/EPS beat but only a reaffirm (not a clear raise) of FY revenue/FCF, plus still-decelerating growth (+6% vs +8% a year ago) and ~200bps of baked-in FY headwinds. Out-period math (implicit trims to the decel trajectory even after a beat) and profit-taking on the crowded pre-print rally drive continued downside; only a visible bookings-to-parity inflection + explicit FY raise would reverse this.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2026-07-29T19:33:29Z</dcterms:created>
  <dcterms:modified xsi:type="dcterms:W3CDTF">2026-07-29T19:33:29Z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