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GDDY before writing the preview. Let me gather recent earnings materials, guidance, news, and stock performance.Let me read the most recent earnings materials (Q1 2026 release and call) for guidance and key metrics.Let me pull recent news/analyst context and the year-ago Q2 2025 figures for comparison.Let me get recent news and analyst estimate context via web search.# GoDaddy (GDDY) — Q2 2026 Earnings Preview</w:t>
      </w:r>
    </w:p>
    <w:bookmarkStart w:id="9" w:name="Xf527eac5386551e066445d10b8f2a565001060c"/>
    <w:p>
      <w:pPr>
        <w:pStyle w:val="Heading3"/>
      </w:pPr>
      <w:r>
        <w:t xml:space="preserve">Reports after market close, Thursday July 30, 2026 (~5:00 p.m. ET)</w:t>
      </w:r>
    </w:p>
    <w:p>
      <w:r>
        <w:pict>
          <v:rect style="width:0;height:1.5pt" o:hralign="center" o:hrstd="t" o:hr="t"/>
        </w:pict>
      </w:r>
    </w:p>
    <w:bookmarkEnd w:id="9"/>
    <w:bookmarkStart w:id="10" w:name="Xabe4dc978c08eaeef182b053dacc41ab565a881"/>
    <w:p>
      <w:pPr>
        <w:pStyle w:val="Heading2"/>
      </w:pPr>
      <w:r>
        <w:t xml:space="preserve">The setup: a beaten-down stock trying to reclaim its footing</w:t>
      </w:r>
    </w:p>
    <w:p>
      <w:pPr>
        <w:pStyle w:val="FirstParagraph"/>
      </w:pPr>
      <w:r>
        <w:t xml:space="preserve">GDDY heads into this print as one of the more contentious names in software/internet. The stock has been a serious underperformer — down roughly 47% over the trailing 52 weeks against a rising S&amp;P 500 — and it entered 2026 near $118 before sliding to a June low around</w:t>
      </w:r>
      <w:r>
        <w:t xml:space="preserve"> </w:t>
      </w:r>
      <m:oMath>
        <m:r>
          <m:t>75</m:t>
        </m:r>
        <m:r>
          <m:rPr>
            <m:sty m:val="p"/>
          </m:rPr>
          <m:t>.</m:t>
        </m:r>
        <m:r>
          <m:t>W</m:t>
        </m:r>
        <m:r>
          <m:t>h</m:t>
        </m:r>
        <m:r>
          <m:t>a</m:t>
        </m:r>
        <m:r>
          <m:t>t</m:t>
        </m:r>
        <m:r>
          <m:t>m</m:t>
        </m:r>
        <m:r>
          <m:t>a</m:t>
        </m:r>
        <m:r>
          <m:t>k</m:t>
        </m:r>
        <m:r>
          <m:t>e</m:t>
        </m:r>
        <m:r>
          <m:t>s</m:t>
        </m:r>
        <m:r>
          <m:t>t</m:t>
        </m:r>
        <m:r>
          <m:t>h</m:t>
        </m:r>
        <m:r>
          <m:t>i</m:t>
        </m:r>
        <m:r>
          <m:t>s</m:t>
        </m:r>
        <m:r>
          <m:t>r</m:t>
        </m:r>
        <m:r>
          <m:t>e</m:t>
        </m:r>
        <m:r>
          <m:t>p</m:t>
        </m:r>
        <m:r>
          <m:t>o</m:t>
        </m:r>
        <m:r>
          <m:t>r</m:t>
        </m:r>
        <m:r>
          <m:t>t</m:t>
        </m:r>
        <m:r>
          <m:t>i</m:t>
        </m:r>
        <m:r>
          <m:t>n</m:t>
        </m:r>
        <m:r>
          <m:t>t</m:t>
        </m:r>
        <m:r>
          <m:t>e</m:t>
        </m:r>
        <m:r>
          <m:t>r</m:t>
        </m:r>
        <m:r>
          <m:t>e</m:t>
        </m:r>
        <m:r>
          <m:t>s</m:t>
        </m:r>
        <m:r>
          <m:t>t</m:t>
        </m:r>
        <m:r>
          <m:t>i</m:t>
        </m:r>
        <m:r>
          <m:t>n</m:t>
        </m:r>
        <m:r>
          <m:t>g</m:t>
        </m:r>
        <m:r>
          <m:t>i</m:t>
        </m:r>
        <m:r>
          <m:t>s</m:t>
        </m:r>
        <m:r>
          <m:t>t</m:t>
        </m:r>
        <m:r>
          <m:t>h</m:t>
        </m:r>
        <m:r>
          <m:t>e</m:t>
        </m:r>
        <m:r>
          <m:rPr>
            <m:sty m:val="p"/>
          </m:rPr>
          <m:t>*</m:t>
        </m:r>
        <m:r>
          <m:rPr>
            <m:sty m:val="p"/>
          </m:rPr>
          <m:t>*</m:t>
        </m:r>
        <m:r>
          <m:t>v</m:t>
        </m:r>
        <m:r>
          <m:t>i</m:t>
        </m:r>
        <m:r>
          <m:t>o</m:t>
        </m:r>
        <m:r>
          <m:t>l</m:t>
        </m:r>
        <m:r>
          <m:t>e</m:t>
        </m:r>
        <m:r>
          <m:t>n</m:t>
        </m:r>
        <m:r>
          <m:t>t</m:t>
        </m:r>
        <m:r>
          <m:t>s</m:t>
        </m:r>
        <m:r>
          <m:t>n</m:t>
        </m:r>
        <m:r>
          <m:t>a</m:t>
        </m:r>
        <m:r>
          <m:t>p</m:t>
        </m:r>
        <m:r>
          <m:rPr>
            <m:sty m:val="p"/>
          </m:rPr>
          <m:t>−</m:t>
        </m:r>
        <m:r>
          <m:t>b</m:t>
        </m:r>
        <m:r>
          <m:t>a</m:t>
        </m:r>
        <m:r>
          <m:t>c</m:t>
        </m:r>
        <m:r>
          <m:t>k</m:t>
        </m:r>
        <m:r>
          <m:t>g</m:t>
        </m:r>
        <m:r>
          <m:t>o</m:t>
        </m:r>
        <m:r>
          <m:t>i</m:t>
        </m:r>
        <m:r>
          <m:t>n</m:t>
        </m:r>
        <m:r>
          <m:t>g</m:t>
        </m:r>
        <m:r>
          <m:t>i</m:t>
        </m:r>
        <m:r>
          <m:t>n</m:t>
        </m:r>
        <m:r>
          <m:t>t</m:t>
        </m:r>
        <m:r>
          <m:t>o</m:t>
        </m:r>
        <m:r>
          <m:t>t</m:t>
        </m:r>
        <m:r>
          <m:t>h</m:t>
        </m:r>
        <m:r>
          <m:t>e</m:t>
        </m:r>
        <m:r>
          <m:t>e</m:t>
        </m:r>
        <m:r>
          <m:t>v</m:t>
        </m:r>
        <m:r>
          <m:t>e</m:t>
        </m:r>
        <m:r>
          <m:t>n</m:t>
        </m:r>
        <m:r>
          <m:t>t</m:t>
        </m:r>
        <m:r>
          <m:rPr>
            <m:sty m:val="p"/>
          </m:rPr>
          <m:t>*</m:t>
        </m:r>
        <m:r>
          <m:rPr>
            <m:sty m:val="p"/>
          </m:rPr>
          <m:t>*</m:t>
        </m:r>
        <m:r>
          <m:rPr>
            <m:sty m:val="p"/>
          </m:rPr>
          <m:t>:</m:t>
        </m:r>
        <m:r>
          <m:t>s</m:t>
        </m:r>
        <m:r>
          <m:t>h</m:t>
        </m:r>
        <m:r>
          <m:t>a</m:t>
        </m:r>
        <m:r>
          <m:t>r</m:t>
        </m:r>
        <m:r>
          <m:t>e</m:t>
        </m:r>
        <m:r>
          <m:t>s</m:t>
        </m:r>
        <m:r>
          <m:t>h</m:t>
        </m:r>
        <m:r>
          <m:t>a</m:t>
        </m:r>
        <m:r>
          <m:t>v</m:t>
        </m:r>
        <m:r>
          <m:t>e</m:t>
        </m:r>
        <m:r>
          <m:t>r</m:t>
        </m:r>
        <m:r>
          <m:t>a</m:t>
        </m:r>
        <m:r>
          <m:t>l</m:t>
        </m:r>
        <m:r>
          <m:t>l</m:t>
        </m:r>
        <m:r>
          <m:t>i</m:t>
        </m:r>
        <m:r>
          <m:t>e</m:t>
        </m:r>
        <m:r>
          <m:t>d</m:t>
        </m:r>
        <m:r>
          <m:t>f</m:t>
        </m:r>
        <m:r>
          <m:t>r</m:t>
        </m:r>
        <m:r>
          <m:t>o</m:t>
        </m:r>
        <m:r>
          <m:t>m</m:t>
        </m:r>
        <m:r>
          <m:t> </m:t>
        </m:r>
      </m:oMath>
      <w:r>
        <w:t xml:space="preserve">75 in late June to</w:t>
      </w:r>
      <w:r>
        <w:t xml:space="preserve"> </w:t>
      </w:r>
      <w:r>
        <w:rPr>
          <w:b/>
          <w:bCs/>
        </w:rPr>
        <w:t xml:space="preserve">$105.30 on July 29</w:t>
      </w:r>
      <w:r>
        <w:t xml:space="preserve">, including a ~+6.7% jump on July 28 alone. That means expectations have been reset higher over just a few weeks, and the setup is now less "washed out" than it was a month ago — the market is showing up looking for confirmation that the AI-driven reacceleration story is real.</w:t>
      </w:r>
    </w:p>
    <w:p>
      <w:pPr>
        <w:pStyle w:val="BodyText"/>
      </w:pPr>
      <w:r>
        <w:t xml:space="preserve">Net: a controversial, high-short-interest-type setup where the bar has quietly moved up into the print. A merely "in-line" quarter may not be enough after a 40% run.</w:t>
      </w:r>
    </w:p>
    <w:p>
      <w:r>
        <w:pict>
          <v:rect style="width:0;height:1.5pt" o:hralign="center" o:hrstd="t" o:hr="t"/>
        </w:pict>
      </w:r>
    </w:p>
    <w:bookmarkEnd w:id="10"/>
    <w:bookmarkStart w:id="11" w:name="what-the-street-is-looking-for"/>
    <w:p>
      <w:pPr>
        <w:pStyle w:val="Heading2"/>
      </w:pPr>
      <w:r>
        <w:t xml:space="preserve">What the Street is looking for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 / Guide</w:t>
            </w:r>
          </w:p>
        </w:tc>
        <w:tc>
          <w:tcPr/>
          <w:p>
            <w:pPr>
              <w:pStyle w:val="Compact"/>
            </w:pPr>
            <w:r>
              <w:t xml:space="preserve">Q2 2025 Actual</w:t>
            </w:r>
          </w:p>
        </w:tc>
        <w:tc>
          <w:tcPr/>
          <w:p>
            <w:pPr>
              <w:pStyle w:val="Compact"/>
            </w:pPr>
            <w:r>
              <w:t xml:space="preserve">Implied Y/Y</w:t>
            </w:r>
          </w:p>
        </w:tc>
      </w:tr>
      <w:tr>
        <w:tc>
          <w:tcPr/>
          <w:p>
            <w:pPr>
              <w:pStyle w:val="Compact"/>
            </w:pPr>
            <w:r>
              <w:t xml:space="preserve">Revenue</w:t>
            </w:r>
          </w:p>
        </w:tc>
        <w:tc>
          <w:tcPr/>
          <w:p>
            <w:pPr>
              <w:pStyle w:val="Compact"/>
            </w:pPr>
            <w:r>
              <w:t xml:space="preserve">~</w:t>
            </w:r>
            <m:oMath>
              <m:r>
                <m:t>1.295</m:t>
              </m:r>
              <m:r>
                <m:t>B</m:t>
              </m:r>
              <m:r>
                <m:rPr>
                  <m:sty m:val="p"/>
                </m:rPr>
                <m:t>(</m:t>
              </m:r>
              <m:r>
                <m:t>S</m:t>
              </m:r>
              <m:r>
                <m:t>t</m:t>
              </m:r>
              <m:r>
                <m:t>r</m:t>
              </m:r>
              <m:r>
                <m:t>e</m:t>
              </m:r>
              <m:r>
                <m:t>e</m:t>
              </m:r>
              <m:r>
                <m:t>t</m:t>
              </m:r>
              <m:r>
                <m:rPr>
                  <m:sty m:val="p"/>
                </m:rPr>
                <m:t>)</m:t>
              </m:r>
              <m:r>
                <m:rPr>
                  <m:sty m:val="p"/>
                </m:rPr>
                <m:t>/</m:t>
              </m:r>
              <m:r>
                <m:rPr>
                  <m:sty m:val="p"/>
                </m:rPr>
                <m:t>*</m:t>
              </m:r>
              <m:r>
                <m:rPr>
                  <m:sty m:val="p"/>
                </m:rPr>
                <m:t>*</m:t>
              </m:r>
            </m:oMath>
            <w:r>
              <w:t xml:space="preserve">1.285–1.305B guide**</w:t>
            </w:r>
          </w:p>
        </w:tc>
        <w:tc>
          <w:tcPr/>
          <w:p>
            <w:pPr>
              <w:pStyle w:val="Compact"/>
            </w:pPr>
            <w:r>
              <w:t xml:space="preserve">$1,217.6M</w:t>
            </w:r>
          </w:p>
        </w:tc>
        <w:tc>
          <w:tcPr/>
          <w:p>
            <w:pPr>
              <w:pStyle w:val="Compact"/>
            </w:pPr>
            <w:r>
              <w:t xml:space="preserve">+6%</w:t>
            </w:r>
          </w:p>
        </w:tc>
      </w:tr>
      <w:tr>
        <w:tc>
          <w:tcPr/>
          <w:p>
            <w:pPr>
              <w:pStyle w:val="Compact"/>
            </w:pPr>
            <w:r>
              <w:t xml:space="preserve">Non-GAAP / diluted EPS</w:t>
            </w:r>
          </w:p>
        </w:tc>
        <w:tc>
          <w:tcPr/>
          <w:p>
            <w:pPr>
              <w:pStyle w:val="Compact"/>
            </w:pPr>
            <w:r>
              <w:rPr>
                <w:b/>
                <w:bCs/>
              </w:rPr>
              <w:t xml:space="preserve">~$1.72</w:t>
            </w:r>
          </w:p>
        </w:tc>
        <w:tc>
          <w:tcPr/>
          <w:p>
            <w:pPr>
              <w:pStyle w:val="Compact"/>
            </w:pPr>
            <w:r>
              <w:t xml:space="preserve">$1.41</w:t>
            </w:r>
          </w:p>
        </w:tc>
        <w:tc>
          <w:tcPr/>
          <w:p>
            <w:pPr>
              <w:pStyle w:val="Compact"/>
            </w:pPr>
            <w:r>
              <w:t xml:space="preserve">+~22%</w:t>
            </w:r>
          </w:p>
        </w:tc>
      </w:tr>
      <w:tr>
        <w:tc>
          <w:tcPr/>
          <w:p>
            <w:pPr>
              <w:pStyle w:val="Compact"/>
            </w:pPr>
            <w:r>
              <w:t xml:space="preserve">NEBITDA margin</w:t>
            </w:r>
          </w:p>
        </w:tc>
        <w:tc>
          <w:tcPr/>
          <w:p>
            <w:pPr>
              <w:pStyle w:val="Compact"/>
            </w:pPr>
            <w:r>
              <w:rPr>
                <w:b/>
                <w:bCs/>
              </w:rPr>
              <w:t xml:space="preserve">~33% (guide)</w:t>
            </w:r>
          </w:p>
        </w:tc>
        <w:tc>
          <w:tcPr/>
          <w:p>
            <w:pPr>
              <w:pStyle w:val="Compact"/>
            </w:pPr>
            <w:r>
              <w:t xml:space="preserve">31.3%</w:t>
            </w:r>
          </w:p>
        </w:tc>
        <w:tc>
          <w:tcPr/>
          <w:p>
            <w:pPr>
              <w:pStyle w:val="Compact"/>
            </w:pPr>
            <w:r>
              <w:t xml:space="preserve">+~170 bps</w:t>
            </w:r>
          </w:p>
        </w:tc>
      </w:tr>
      <w:tr>
        <w:tc>
          <w:tcPr/>
          <w:p>
            <w:pPr>
              <w:pStyle w:val="Compact"/>
            </w:pPr>
            <w:r>
              <w:t xml:space="preserve">A&amp;C revenue growth</w:t>
            </w:r>
          </w:p>
        </w:tc>
        <w:tc>
          <w:tcPr/>
          <w:p>
            <w:pPr>
              <w:pStyle w:val="Compact"/>
            </w:pPr>
            <w:r>
              <w:t xml:space="preserve">"low double-digits" (guide)</w:t>
            </w:r>
          </w:p>
        </w:tc>
        <w:tc>
          <w:tcPr/>
          <w:p>
            <w:pPr>
              <w:pStyle w:val="Compact"/>
            </w:pPr>
            <w:r>
              <w:t xml:space="preserve">$463.9M (+14%)</w:t>
            </w:r>
          </w:p>
        </w:tc>
        <w:tc>
          <w:tcPr/>
          <w:p>
            <w:pPr>
              <w:pStyle w:val="Compact"/>
            </w:pPr>
            <w:r>
              <w:t xml:space="preserve">—</w:t>
            </w:r>
          </w:p>
        </w:tc>
      </w:tr>
      <w:tr>
        <w:tc>
          <w:tcPr/>
          <w:p>
            <w:pPr>
              <w:pStyle w:val="Compact"/>
            </w:pPr>
            <w:r>
              <w:t xml:space="preserve">Core Platform growth</w:t>
            </w:r>
          </w:p>
        </w:tc>
        <w:tc>
          <w:tcPr/>
          <w:p>
            <w:pPr>
              <w:pStyle w:val="Compact"/>
            </w:pPr>
            <w:r>
              <w:t xml:space="preserve">"low single-digits" (guide)</w:t>
            </w:r>
          </w:p>
        </w:tc>
        <w:tc>
          <w:tcPr/>
          <w:p>
            <w:pPr>
              <w:pStyle w:val="Compact"/>
            </w:pPr>
            <w:r>
              <w:t xml:space="preserve">$753.7M (+5%)</w:t>
            </w:r>
          </w:p>
        </w:tc>
        <w:tc>
          <w:tcPr/>
          <w:p>
            <w:pPr>
              <w:pStyle w:val="Compact"/>
            </w:pPr>
            <w:r>
              <w:t xml:space="preserve">—</w:t>
            </w:r>
          </w:p>
        </w:tc>
      </w:tr>
    </w:tbl>
    <w:p>
      <w:pPr>
        <w:pStyle w:val="Compact"/>
        <w:numPr>
          <w:ilvl w:val="0"/>
          <w:numId w:val="1001"/>
        </w:numPr>
      </w:pPr>
      <w:r>
        <w:t xml:space="preserve">Revenue consensus (~$1.2946B, ~+6.3% y/y) sits right at the midpoint of guidance.</w:t>
      </w:r>
    </w:p>
    <w:p>
      <w:pPr>
        <w:pStyle w:val="Compact"/>
        <w:numPr>
          <w:ilvl w:val="0"/>
          <w:numId w:val="1001"/>
        </w:numPr>
      </w:pPr>
      <w:r>
        <w:t xml:space="preserve">EPS consensus of ~$1.72 implies ~22% growth off last year's $1.41.</w:t>
      </w:r>
    </w:p>
    <w:p>
      <w:pPr>
        <w:pStyle w:val="Compact"/>
        <w:numPr>
          <w:ilvl w:val="0"/>
          <w:numId w:val="1001"/>
        </w:numPr>
      </w:pPr>
      <w:r>
        <w:t xml:space="preserve">Note the growth</w:t>
      </w:r>
      <w:r>
        <w:t xml:space="preserve"> </w:t>
      </w:r>
      <w:r>
        <w:rPr>
          <w:b/>
          <w:bCs/>
        </w:rPr>
        <w:t xml:space="preserve">deceleration</w:t>
      </w:r>
      <w:r>
        <w:t xml:space="preserve">: +6% this quarter vs. +8.3% in the year-ago Q2. Bulls need to see this is the trough.</w:t>
      </w:r>
    </w:p>
    <w:p>
      <w:pPr>
        <w:pStyle w:val="Compact"/>
        <w:numPr>
          <w:ilvl w:val="0"/>
          <w:numId w:val="1001"/>
        </w:numPr>
      </w:pPr>
      <w:r>
        <w:t xml:space="preserve">GDDY has</w:t>
      </w:r>
      <w:r>
        <w:t xml:space="preserve"> </w:t>
      </w:r>
      <w:r>
        <w:rPr>
          <w:b/>
          <w:bCs/>
        </w:rPr>
        <w:t xml:space="preserve">beaten consensus in each of the past four quarters</w:t>
      </w:r>
      <w:r>
        <w:t xml:space="preserve"> </w:t>
      </w:r>
      <w:r>
        <w:t xml:space="preserve">(avg surprise ~6%), so a beat-and-maintain is the base case; the debate is about magnitude and guidance.</w:t>
      </w:r>
    </w:p>
    <w:p>
      <w:r>
        <w:pict>
          <v:rect style="width:0;height:1.5pt" o:hralign="center" o:hrstd="t" o:hr="t"/>
        </w:pict>
      </w:r>
    </w:p>
    <w:bookmarkEnd w:id="11"/>
    <w:bookmarkStart w:id="15" w:name="X67487e519eec1c9d8cc5ba9f8ccec5f2f9bc5d1"/>
    <w:p>
      <w:pPr>
        <w:pStyle w:val="Heading2"/>
      </w:pPr>
      <w:r>
        <w:t xml:space="preserve">The three things that actually matter this quarter</w:t>
      </w:r>
    </w:p>
    <w:bookmarkStart w:id="12" w:name="Xbe8f374ab89808d2a9b8503144b06261f348a4b"/>
    <w:p>
      <w:pPr>
        <w:pStyle w:val="Heading3"/>
      </w:pPr>
      <w:r>
        <w:t xml:space="preserve">1) The bookings inflection</w:t>
      </w:r>
    </w:p>
    <w:p>
      <w:pPr>
        <w:pStyle w:val="FirstParagraph"/>
      </w:pPr>
      <w:r>
        <w:t xml:space="preserve">This is the single most important number. Management explicitly framed</w:t>
      </w:r>
      <w:r>
        <w:t xml:space="preserve"> </w:t>
      </w:r>
      <w:r>
        <w:rPr>
          <w:b/>
          <w:bCs/>
        </w:rPr>
        <w:t xml:space="preserve">Q1 2026 as the peak drag quarter</w:t>
      </w:r>
      <w:r>
        <w:t xml:space="preserve"> </w:t>
      </w:r>
      <w:r>
        <w:t xml:space="preserve">— total bookings grew just +3% (Core bookings actually</w:t>
      </w:r>
      <w:r>
        <w:t xml:space="preserve"> </w:t>
      </w:r>
      <w:r>
        <w:rPr>
          <w:i/>
          <w:iCs/>
        </w:rPr>
        <w:t xml:space="preserve">declined</w:t>
      </w:r>
      <w:r>
        <w:t xml:space="preserve"> </w:t>
      </w:r>
      <w:r>
        <w:t xml:space="preserve">1%) due to a promotional go-to-market offer, the .CO registry contract expiration, and tough aftermarket comps. CFO Mark McCaffrey guided that, ex-FX,</w:t>
      </w:r>
      <w:r>
        <w:t xml:space="preserve"> </w:t>
      </w:r>
      <w:r>
        <w:rPr>
          <w:b/>
          <w:bCs/>
        </w:rPr>
        <w:t xml:space="preserve">bookings and revenue growth should return to "at or above parity" for the remaining nine months of 2026</w:t>
      </w:r>
      <w:r>
        <w:t xml:space="preserve">. Because bookings lead revenue, investors should scrutinize whether Q2 bookings growth re-accelerated toward/above the ~6% revenue rate. If bookings are still stuck in the low-single digits, the reacceleration thesis takes a hit; a clean move back toward parity validates it.</w:t>
      </w:r>
    </w:p>
    <w:bookmarkEnd w:id="12"/>
    <w:bookmarkStart w:id="13" w:name="Xef00e4a1585d091ce433eba4f78656109a053c2"/>
    <w:p>
      <w:pPr>
        <w:pStyle w:val="Heading3"/>
      </w:pPr>
      <w:r>
        <w:t xml:space="preserve">2) Airo / AI-native monetization proof points</w:t>
      </w:r>
    </w:p>
    <w:p>
      <w:pPr>
        <w:pStyle w:val="FirstParagraph"/>
      </w:pPr>
      <w:r>
        <w:t xml:space="preserve">The AI narrative is what re-rated the stock off the lows. Key watch items:</w:t>
      </w:r>
    </w:p>
    <w:p>
      <w:pPr>
        <w:pStyle w:val="Compact"/>
        <w:numPr>
          <w:ilvl w:val="0"/>
          <w:numId w:val="1002"/>
        </w:numPr>
      </w:pPr>
      <w:r>
        <w:rPr>
          <w:b/>
          <w:bCs/>
        </w:rPr>
        <w:t xml:space="preserve">Airo AI Builder</w:t>
      </w:r>
      <w:r>
        <w:t xml:space="preserve"> </w:t>
      </w:r>
      <w:r>
        <w:t xml:space="preserve">exited Q1 at a</w:t>
      </w:r>
      <w:r>
        <w:t xml:space="preserve"> </w:t>
      </w:r>
      <w:r>
        <w:rPr>
          <w:b/>
          <w:bCs/>
        </w:rPr>
        <w:t xml:space="preserve">&gt;$10M annualized bookings run-rate within weeks of beta</w:t>
      </w:r>
      <w:r>
        <w:t xml:space="preserve">, with essentially</w:t>
      </w:r>
      <w:r>
        <w:t xml:space="preserve"> </w:t>
      </w:r>
      <w:r>
        <w:rPr>
          <w:i/>
          <w:iCs/>
        </w:rPr>
        <w:t xml:space="preserve">no</w:t>
      </w:r>
      <w:r>
        <w:t xml:space="preserve"> </w:t>
      </w:r>
      <w:r>
        <w:t xml:space="preserve">dedicated marketing. Management said paid marketing would ramp starting in Q2 (funded by internal efficiencies), and that distribution would expand on godaddy.com and through Care. Investors will want an updated run-rate and early marketing-ROI color — this is the first quarter where paid spend was actually behind the product.</w:t>
      </w:r>
    </w:p>
    <w:p>
      <w:pPr>
        <w:pStyle w:val="Compact"/>
        <w:numPr>
          <w:ilvl w:val="0"/>
          <w:numId w:val="1002"/>
        </w:numPr>
      </w:pPr>
      <w:r>
        <w:rPr>
          <w:b/>
          <w:bCs/>
        </w:rPr>
        <w:t xml:space="preserve">Websites + Marketing upgrade</w:t>
      </w:r>
      <w:r>
        <w:t xml:space="preserve">: still in "challenger vs. champion" testing within the domains funnel; management expects the new version to "win" sometime this year. Watch for any traffic-migration or pricing-timing update.</w:t>
      </w:r>
    </w:p>
    <w:p>
      <w:pPr>
        <w:pStyle w:val="Compact"/>
        <w:numPr>
          <w:ilvl w:val="0"/>
          <w:numId w:val="1002"/>
        </w:numPr>
      </w:pPr>
      <w:r>
        <w:rPr>
          <w:b/>
          <w:bCs/>
        </w:rPr>
        <w:t xml:space="preserve">Agent Name Service (ANS)</w:t>
      </w:r>
      <w:r>
        <w:t xml:space="preserve">: the more speculative, longer-dated optionality — extends domains into agent identity. Non-GoDaddy agents "in the thousands," plus April partnerships with LegalZoom and Cloudflare. Any commercial traction or major-partner alignment would be an upside talking point.</w:t>
      </w:r>
    </w:p>
    <w:bookmarkEnd w:id="13"/>
    <w:bookmarkStart w:id="14" w:name="Xd1a4a7024c53c0224fd2b4f48690694d47df0ca"/>
    <w:p>
      <w:pPr>
        <w:pStyle w:val="Heading3"/>
      </w:pPr>
      <w:r>
        <w:t xml:space="preserve">3) Margins &amp; free cash flow (the North Star)</w:t>
      </w:r>
    </w:p>
    <w:p>
      <w:pPr>
        <w:pStyle w:val="FirstParagraph"/>
      </w:pPr>
      <w:r>
        <w:t xml:space="preserve">GDDY's whole thesis is compounding free cash flow. Q1 delivered</w:t>
      </w:r>
      <w:r>
        <w:t xml:space="preserve"> </w:t>
      </w:r>
      <w:r>
        <w:rPr>
          <w:b/>
          <w:bCs/>
        </w:rPr>
        <w:t xml:space="preserve">NEBITDA margin of 32.6% (+210 bps y/y)</w:t>
      </w:r>
      <w:r>
        <w:t xml:space="preserve"> </w:t>
      </w:r>
      <w:r>
        <w:t xml:space="preserve">and FCF of</w:t>
      </w:r>
      <w:r>
        <w:t xml:space="preserve"> </w:t>
      </w:r>
      <m:oMath>
        <m:r>
          <m:t>474</m:t>
        </m:r>
        <m:r>
          <m:t>M</m:t>
        </m:r>
        <m:r>
          <m:rPr>
            <m:sty m:val="p"/>
          </m:rPr>
          <m:t>(</m:t>
        </m:r>
        <m:r>
          <m:rPr>
            <m:sty m:val="p"/>
          </m:rPr>
          <m:t>+</m:t>
        </m:r>
        <m:r>
          <m:t>15</m:t>
        </m:r>
      </m:oMath>
      <w:r>
        <w:t xml:space="preserve">1.68B. For the full year the company</w:t>
      </w:r>
      <w:r>
        <w:t xml:space="preserve"> </w:t>
      </w:r>
      <w:r>
        <w:rPr>
          <w:b/>
          <w:bCs/>
        </w:rPr>
        <w:t xml:space="preserve">reaffirmed</w:t>
      </w:r>
      <w:r>
        <w:t xml:space="preserve">: revenue</w:t>
      </w:r>
      <w:r>
        <w:t xml:space="preserve"> </w:t>
      </w:r>
      <m:oMath>
        <m:r>
          <m:t>5.195</m:t>
        </m:r>
        <m:r>
          <m:rPr>
            <m:sty m:val="p"/>
          </m:rPr>
          <m:t>–</m:t>
        </m:r>
        <m:r>
          <m:t>5.275</m:t>
        </m:r>
        <m:r>
          <m:t>B</m:t>
        </m:r>
        <m:r>
          <m:rPr>
            <m:sty m:val="p"/>
          </m:rPr>
          <m:t>(</m:t>
        </m:r>
        <m:r>
          <m:rPr>
            <m:sty m:val="p"/>
          </m:rPr>
          <m:t>+</m:t>
        </m:r>
        <m:r>
          <m:t>6</m:t>
        </m:r>
      </m:oMath>
      <w:r>
        <w:t xml:space="preserve">1.8B** (vs. $1.6B in 2025). The tension to watch: management is simultaneously</w:t>
      </w:r>
      <w:r>
        <w:t xml:space="preserve"> </w:t>
      </w:r>
      <w:r>
        <w:rPr>
          <w:i/>
          <w:iCs/>
        </w:rPr>
        <w:t xml:space="preserve">increasing</w:t>
      </w:r>
      <w:r>
        <w:t xml:space="preserve"> </w:t>
      </w:r>
      <w:r>
        <w:t xml:space="preserve">investment (Airo marketing, compute) while promising margin expansion via AI-driven internal efficiencies (Airo Care support automation, AI software development, replacing SaaS tools). Investors want proof both can happen at once — margin expansion</w:t>
      </w:r>
      <w:r>
        <w:t xml:space="preserve"> </w:t>
      </w:r>
      <w:r>
        <w:rPr>
          <w:i/>
          <w:iCs/>
        </w:rPr>
        <w:t xml:space="preserve">with</w:t>
      </w:r>
      <w:r>
        <w:t xml:space="preserve"> </w:t>
      </w:r>
      <w:r>
        <w:t xml:space="preserve">reinvestment.</w:t>
      </w:r>
    </w:p>
    <w:p>
      <w:r>
        <w:pict>
          <v:rect style="width:0;height:1.5pt" o:hralign="center" o:hrstd="t" o:hr="t"/>
        </w:pict>
      </w:r>
    </w:p>
    <w:bookmarkEnd w:id="14"/>
    <w:bookmarkEnd w:id="15"/>
    <w:bookmarkStart w:id="16" w:name="guidance-is-the-real-event"/>
    <w:p>
      <w:pPr>
        <w:pStyle w:val="Heading2"/>
      </w:pPr>
      <w:r>
        <w:t xml:space="preserve">Guidance is the real event</w:t>
      </w:r>
    </w:p>
    <w:p>
      <w:pPr>
        <w:pStyle w:val="FirstParagraph"/>
      </w:pPr>
      <w:r>
        <w:t xml:space="preserve">Given the run into the print, the</w:t>
      </w:r>
      <w:r>
        <w:t xml:space="preserve"> </w:t>
      </w:r>
      <w:r>
        <w:rPr>
          <w:b/>
          <w:bCs/>
        </w:rPr>
        <w:t xml:space="preserve">full-year reaffirmation (or raise)</w:t>
      </w:r>
      <w:r>
        <w:t xml:space="preserve"> </w:t>
      </w:r>
      <w:r>
        <w:t xml:space="preserve">likely matters more than the Q2 beat. Watch specifically for:</w:t>
      </w:r>
    </w:p>
    <w:p>
      <w:pPr>
        <w:pStyle w:val="Compact"/>
        <w:numPr>
          <w:ilvl w:val="0"/>
          <w:numId w:val="1003"/>
        </w:numPr>
      </w:pPr>
      <w:r>
        <w:t xml:space="preserve">Any</w:t>
      </w:r>
      <w:r>
        <w:t xml:space="preserve"> </w:t>
      </w:r>
      <w:r>
        <w:rPr>
          <w:b/>
          <w:bCs/>
        </w:rPr>
        <w:t xml:space="preserve">raise</w:t>
      </w:r>
      <w:r>
        <w:t xml:space="preserve"> </w:t>
      </w:r>
      <w:r>
        <w:t xml:space="preserve">to the FY revenue range or FCF target (a raise would strongly validate the "Q1 was the trough" framing).</w:t>
      </w:r>
    </w:p>
    <w:p>
      <w:pPr>
        <w:pStyle w:val="Compact"/>
        <w:numPr>
          <w:ilvl w:val="0"/>
          <w:numId w:val="1003"/>
        </w:numPr>
      </w:pPr>
      <w:r>
        <w:t xml:space="preserve">The FY EPS trajectory — Street models ~</w:t>
      </w:r>
      <m:oMath>
        <m:r>
          <m:t>7.15</m:t>
        </m:r>
        <m:r>
          <m:t>f</m:t>
        </m:r>
        <m:r>
          <m:t>o</m:t>
        </m:r>
        <m:r>
          <m:t>r</m:t>
        </m:r>
        <m:r>
          <m:t>F</m:t>
        </m:r>
        <m:r>
          <m:t>Y</m:t>
        </m:r>
        <m:r>
          <m:t>2026</m:t>
        </m:r>
        <m:r>
          <m:rPr>
            <m:sty m:val="p"/>
          </m:rPr>
          <m:t>(</m:t>
        </m:r>
        <m:r>
          <m:rPr>
            <m:sty m:val="p"/>
          </m:rPr>
          <m:t>+</m:t>
        </m:r>
        <m:r>
          <m:t> </m:t>
        </m:r>
        <m:r>
          <m:t>20</m:t>
        </m:r>
      </m:oMath>
      <w:r>
        <w:t xml:space="preserve">8.96 for FY2027.</w:t>
      </w:r>
    </w:p>
    <w:p>
      <w:pPr>
        <w:pStyle w:val="Compact"/>
        <w:numPr>
          <w:ilvl w:val="0"/>
          <w:numId w:val="1003"/>
        </w:numPr>
      </w:pPr>
      <w:r>
        <w:t xml:space="preserve">Confirmation that</w:t>
      </w:r>
      <w:r>
        <w:t xml:space="preserve"> </w:t>
      </w:r>
      <w:r>
        <w:rPr>
          <w:b/>
          <w:bCs/>
        </w:rPr>
        <w:t xml:space="preserve">bookings/revenue parity</w:t>
      </w:r>
      <w:r>
        <w:t xml:space="preserve"> </w:t>
      </w:r>
      <w:r>
        <w:t xml:space="preserve">holds for 2H.</w:t>
      </w:r>
    </w:p>
    <w:p>
      <w:pPr>
        <w:pStyle w:val="Compact"/>
        <w:numPr>
          <w:ilvl w:val="0"/>
          <w:numId w:val="1003"/>
        </w:numPr>
      </w:pPr>
      <w:r>
        <w:t xml:space="preserve">Reminder of the ~200 bps of cumulative full-year headwinds already baked in (.CO expiration, aftermarket exclusion, product/promo evolution).</w:t>
      </w:r>
    </w:p>
    <w:p>
      <w:r>
        <w:pict>
          <v:rect style="width:0;height:1.5pt" o:hralign="center" o:hrstd="t" o:hr="t"/>
        </w:pict>
      </w:r>
    </w:p>
    <w:bookmarkEnd w:id="16"/>
    <w:bookmarkStart w:id="17" w:name="capital-return"/>
    <w:p>
      <w:pPr>
        <w:pStyle w:val="Heading2"/>
      </w:pPr>
      <w:r>
        <w:t xml:space="preserve">Capital return</w:t>
      </w:r>
    </w:p>
    <w:p>
      <w:pPr>
        <w:pStyle w:val="FirstParagraph"/>
      </w:pPr>
      <w:r>
        <w:t xml:space="preserve">GDDY remains a buyback machine — &gt;95% of FCF deployed to repurchases over the last four years, and gross diluted share count down &gt;31% since 2022 (to ~133M). Q1 repurchases (~$280M) actually ran</w:t>
      </w:r>
      <w:r>
        <w:t xml:space="preserve"> </w:t>
      </w:r>
      <w:r>
        <w:rPr>
          <w:i/>
          <w:iCs/>
        </w:rPr>
        <w:t xml:space="preserve">below</w:t>
      </w:r>
      <w:r>
        <w:t xml:space="preserve"> </w:t>
      </w:r>
      <w:r>
        <w:t xml:space="preserve">FCF, leaving cash at its highest level since 2021 — a point one analyst pushed on. With the stock having traded in the $75–105 range, watch for how aggressively they leaned in during Q2 (potentially opportunistic at the lows) and any commentary on M&amp;A appetite given the cash build.</w:t>
      </w:r>
    </w:p>
    <w:p>
      <w:r>
        <w:pict>
          <v:rect style="width:0;height:1.5pt" o:hralign="center" o:hrstd="t" o:hr="t"/>
        </w:pict>
      </w:r>
    </w:p>
    <w:bookmarkEnd w:id="17"/>
    <w:bookmarkStart w:id="18" w:name="bull-vs-bear-into-the-print"/>
    <w:p>
      <w:pPr>
        <w:pStyle w:val="Heading2"/>
      </w:pPr>
      <w:r>
        <w:t xml:space="preserve">Bull vs. bear into the print</w:t>
      </w:r>
    </w:p>
    <w:p>
      <w:pPr>
        <w:pStyle w:val="FirstParagraph"/>
      </w:pPr>
      <w:r>
        <w:rPr>
          <w:b/>
          <w:bCs/>
        </w:rPr>
        <w:t xml:space="preserve">Bulls:</w:t>
      </w:r>
      <w:r>
        <w:t xml:space="preserve"> </w:t>
      </w:r>
      <w:r>
        <w:t xml:space="preserve">Q1 was the deliberate trough; bookings reaccelerate to parity; Airo monetization surprises to the upside now that marketing is on; margins expand toward &gt;33%; FCF/buyback compounding intact; valuation de-risked after the 47% drawdown.</w:t>
      </w:r>
    </w:p>
    <w:p>
      <w:pPr>
        <w:pStyle w:val="BodyText"/>
      </w:pPr>
      <w:r>
        <w:rPr>
          <w:b/>
          <w:bCs/>
        </w:rPr>
        <w:t xml:space="preserve">Bears:</w:t>
      </w:r>
      <w:r>
        <w:t xml:space="preserve"> </w:t>
      </w:r>
      <w:r>
        <w:t xml:space="preserve">Growth is still decelerating (+6% vs. +8% a year ago); the AI story is early and partly funded by cutting elsewhere; Core Platform/domains face structural AI-search and low-cost-registrar pressure; the stock already ran ~40% into the print, so much of the "trough is in" optimism may be priced.</w:t>
      </w:r>
    </w:p>
    <w:bookmarkEnd w:id="18"/>
    <w:bookmarkStart w:id="19" w:name="bottom-line"/>
    <w:p>
      <w:pPr>
        <w:pStyle w:val="Heading2"/>
      </w:pPr>
      <w:r>
        <w:t xml:space="preserve">Bottom line</w:t>
      </w:r>
    </w:p>
    <w:p>
      <w:pPr>
        <w:pStyle w:val="FirstParagraph"/>
      </w:pPr>
      <w:r>
        <w:t xml:space="preserve">The quarter itself will likely be another modest beat given the four-quarter track record and mid-point guide. The</w:t>
      </w:r>
      <w:r>
        <w:t xml:space="preserve"> </w:t>
      </w:r>
      <w:r>
        <w:rPr>
          <w:b/>
          <w:bCs/>
        </w:rPr>
        <w:t xml:space="preserve">share reaction hinges on three deltas</w:t>
      </w:r>
      <w:r>
        <w:t xml:space="preserve">: (1) does bookings growth visibly re-accelerate toward parity, (2) does Airo AI Builder's run-rate and early marketing ROI justify the AI re-rating, and (3) does management raise (not just reaffirm) the full-year revenue/FCF outlook. After a sharp pre-earnings rally, "good enough" may be a "sell-the-news" risk, while a bookings inflection + guidance raise is what the recent buyers are paying up for.</w:t>
      </w:r>
    </w:p>
    <w:p>
      <w:pPr>
        <w:pStyle w:val="BodyText"/>
      </w:pPr>
      <w:r>
        <w:rPr>
          <w:i/>
          <w:iCs/>
        </w:rPr>
        <w:t xml:space="preserve">Note: EPS/estimate figures reflect published analyst consensus (~</w:t>
      </w:r>
      <m:oMath>
        <m:r>
          <m:t>1.72</m:t>
        </m:r>
        <m:r>
          <m:t>E</m:t>
        </m:r>
        <m:r>
          <m:t>P</m:t>
        </m:r>
        <m:r>
          <m:t>S</m:t>
        </m:r>
        <m:r>
          <m:rPr>
            <m:sty m:val="p"/>
          </m:rPr>
          <m:t>,</m:t>
        </m:r>
        <m:r>
          <m:t> </m:t>
        </m:r>
      </m:oMath>
      <w:r>
        <w:rPr>
          <w:i/>
          <w:iCs/>
        </w:rPr>
        <w:t xml:space="preserve">1.295B revenue); all company results and guidance are from GoDaddy's Q1 2026 and Q2 2025 releases and the Q1 2026 earnings call.</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2026-07-29T19:33:29Z</dcterms:created>
  <dcterms:modified xsi:type="dcterms:W3CDTF">2026-07-29T19:33:29Z</dcterms:modified>
</cp:coreProperties>
</file>

<file path=docProps/custom.xml><?xml version="1.0" encoding="utf-8"?>
<Properties xmlns="http://schemas.openxmlformats.org/officeDocument/2006/custom-properties" xmlns:vt="http://schemas.openxmlformats.org/officeDocument/2006/docPropsVTypes"/>
</file>