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ddy-earnings-predictions--2026-07-30"/>
    <w:p>
      <w:pPr>
        <w:pStyle w:val="Heading1"/>
      </w:pPr>
      <w:r>
        <w:t xml:space="preserve">GDDY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~$1.305B vs. cons $1.29B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~$1.80 vs. cons $1.72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Bookings Growth (parity test)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~4.5% YoY vs. implied 'parity' target of ~6% (matching revenue growth)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1.30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1.32B vs. cons $1.31B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5.20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5.28B reaffirmed vs. cons $5.24B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Normalized EBITDA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~33%+ reaffirmed vs. cons ~33.2%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Bookings/Revenue Parity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~parity 'by year-end' pushed out vs. prior promise of parity 'for remainder of year'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(FADE)</w:t>
            </w:r>
          </w:p>
        </w:tc>
        <w:tc>
          <w:tcPr/>
          <w:p>
            <w:pPr>
              <w:pStyle w:val="Compact"/>
            </w:pPr>
            <w:r>
              <w:t xml:space="preserve">Stock rallied ~40% off its June low and ~9% in the two sessions before the print, pricing in a clean beat-and-raise; a Q2 revenue/EPS beat is likely already discounted while the critical 'bookings-to-revenue parity' promise probably only partially delivers given the .CO comp and hosting softness, keeping the securities-investigation overhang alive. Initial disappointment on bookings/backward-looking guidance framing likely triggers sell-side trimming of H2 estimates (implicit cut to back-half growth needed to hit the reaffirmed FY revenue/EBITDA range), producing continued downside pressure over the following days as analysts publish updated models rather than a snap-back.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2026-07-29T19:36:31Z</dcterms:created>
  <dcterms:modified xsi:type="dcterms:W3CDTF">2026-07-29T19:36:31Z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