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5bb82ba4247f55d208aee463e10d5ab532278f7"/>
    <w:p>
      <w:pPr>
        <w:pStyle w:val="Heading1"/>
      </w:pPr>
      <w:r>
        <w:t xml:space="preserve">GoDaddy Inc. (GDDY) — Q2 2026 Earnings Preview</w:t>
      </w:r>
    </w:p>
    <w:p>
      <w:pPr>
        <w:pStyle w:val="FirstParagraph"/>
      </w:pPr>
      <w:r>
        <w:rPr>
          <w:b/>
          <w:bCs/>
        </w:rPr>
        <w:t xml:space="preserve">Report Date:</w:t>
      </w:r>
      <w:r>
        <w:t xml:space="preserve"> </w:t>
      </w:r>
      <w:r>
        <w:t xml:space="preserve">Thursday, July 30, 2026, after market close |</w:t>
      </w:r>
      <w:r>
        <w:t xml:space="preserve"> </w:t>
      </w:r>
      <w:r>
        <w:rPr>
          <w:b/>
          <w:bCs/>
        </w:rPr>
        <w:t xml:space="preserve">Webcast:</w:t>
      </w:r>
      <w:r>
        <w:t xml:space="preserve"> </w:t>
      </w:r>
      <w:r>
        <w:t xml:space="preserve">5:00 PM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GDDY has had a turbulent year. The stock is down sharply from where it started 2026 (~$118 in early January to a 52-week low near</w:t>
      </w:r>
      <w:r>
        <w:t xml:space="preserve"> </w:t>
      </w:r>
      <m:oMath>
        <m:r>
          <m:t>71.59</m:t>
        </m:r>
        <m:r>
          <m:rPr>
            <m:sty m:val="p"/>
          </m:rPr>
          <m:t>)</m:t>
        </m:r>
        <m:r>
          <m:t>b</m:t>
        </m:r>
        <m:r>
          <m:t>u</m:t>
        </m:r>
        <m:r>
          <m:t>t</m:t>
        </m:r>
        <m:r>
          <m:t>h</m:t>
        </m:r>
        <m:r>
          <m:t>a</m:t>
        </m:r>
        <m:r>
          <m:t>s</m:t>
        </m:r>
        <m:r>
          <m:t>s</m:t>
        </m:r>
        <m:r>
          <m:t>t</m:t>
        </m:r>
        <m:r>
          <m:t>a</m:t>
        </m:r>
        <m:r>
          <m:t>g</m:t>
        </m:r>
        <m:r>
          <m:t>e</m:t>
        </m:r>
        <m:r>
          <m:t>d</m:t>
        </m:r>
        <m:r>
          <m:t>a</m:t>
        </m:r>
        <m:r>
          <m:t>v</m:t>
        </m:r>
        <m:r>
          <m:t>i</m:t>
        </m:r>
        <m:r>
          <m:t>o</m:t>
        </m:r>
        <m:r>
          <m:t>l</m:t>
        </m:r>
        <m:r>
          <m:t>e</m:t>
        </m:r>
        <m:r>
          <m:t>n</m:t>
        </m:r>
        <m:r>
          <m:t>t</m:t>
        </m:r>
        <m:r>
          <m:t>r</m:t>
        </m:r>
        <m:r>
          <m:t>a</m:t>
        </m:r>
        <m:r>
          <m:t>l</m:t>
        </m:r>
        <m:r>
          <m:t>l</m:t>
        </m:r>
        <m:r>
          <m:t>y</m:t>
        </m:r>
        <m:r>
          <m:t>i</m:t>
        </m:r>
        <m:r>
          <m:t>n</m:t>
        </m:r>
        <m:r>
          <m:t>t</m:t>
        </m:r>
        <m:r>
          <m:t>o</m:t>
        </m:r>
        <m:r>
          <m:t>e</m:t>
        </m:r>
        <m:r>
          <m:t>a</m:t>
        </m:r>
        <m:r>
          <m:t>r</m:t>
        </m:r>
        <m:r>
          <m:t>n</m:t>
        </m:r>
        <m:r>
          <m:t>i</m:t>
        </m:r>
        <m:r>
          <m:t>n</m:t>
        </m:r>
        <m:r>
          <m:t>g</m:t>
        </m:r>
        <m:r>
          <m:t>s</m:t>
        </m:r>
        <m:r>
          <m:rPr>
            <m:sty m:val="p"/>
          </m:rPr>
          <m:t>—</m:t>
        </m:r>
        <m:r>
          <m:t>c</m:t>
        </m:r>
        <m:r>
          <m:t>l</m:t>
        </m:r>
        <m:r>
          <m:t>o</m:t>
        </m:r>
        <m:r>
          <m:t>s</m:t>
        </m:r>
        <m:r>
          <m:t>i</m:t>
        </m:r>
        <m:r>
          <m:t>n</m:t>
        </m:r>
        <m:r>
          <m:t>g</m:t>
        </m:r>
        <m:r>
          <m:t>a</m:t>
        </m:r>
        <m:r>
          <m:t>t</m:t>
        </m:r>
        <m:r>
          <m:rPr>
            <m:sty m:val="p"/>
          </m:rPr>
          <m:t>*</m:t>
        </m:r>
        <m:r>
          <m:rPr>
            <m:sty m:val="p"/>
          </m:rPr>
          <m:t>*</m:t>
        </m:r>
      </m:oMath>
      <w:r>
        <w:t xml:space="preserve">105.44** on July 29, up from roughly $85 just two weeks earlier, a move of nearly 24% in that span. Despite the recent bounce, shares remain deeply negative on a trailing basis; Godaddy's share price declined about 46.5% over the last twelve months. This sets up an earnings report with unusually high stakes — the stock is trying to repair a broken chart heading into the print.</w:t>
      </w:r>
    </w:p>
    <w:p>
      <w:pPr>
        <w:pStyle w:val="BodyText"/>
      </w:pPr>
      <w:r>
        <w:rPr>
          <w:b/>
          <w:bCs/>
        </w:rPr>
        <w:t xml:space="preserve">Consensus expectations for Q2 2026:</w:t>
      </w:r>
    </w:p>
    <w:p>
      <w:pPr>
        <w:pStyle w:val="Compact"/>
        <w:numPr>
          <w:ilvl w:val="0"/>
          <w:numId w:val="1001"/>
        </w:numPr>
      </w:pPr>
      <w:r>
        <w:t xml:space="preserve">Consensus estimates for revenue at $1.29 billion and earnings of $1.72 per share, which per Zacks implies a 6.27% year-over-year rise in revenue and 21.99% growth in EPS from the year-ago quarter.</w:t>
      </w:r>
    </w:p>
    <w:p>
      <w:pPr>
        <w:pStyle w:val="Compact"/>
        <w:numPr>
          <w:ilvl w:val="0"/>
          <w:numId w:val="1001"/>
        </w:numPr>
      </w:pPr>
      <w:r>
        <w:t xml:space="preserve">GoDaddy's earnings beat the Zacks Consensus Estimate in all the trailing four quarters, delivering an average surprise of 6.10%, though the stock currently carries a Zacks Rank #4 (Sell) despite a positive Earnings ESP.</w:t>
      </w:r>
    </w:p>
    <w:p>
      <w:pPr>
        <w:pStyle w:val="FirstParagraph"/>
      </w:pPr>
      <w:r>
        <w:t xml:space="preserve">This is a name where the "quiet quarter" narrative has broken down — a pricing-disclosure controversy and a fresh product launch are both live storylines heading into the report.</w:t>
      </w:r>
    </w:p>
    <w:p>
      <w:r>
        <w:pict>
          <v:rect style="width:0;height:1.5pt" o:hralign="center" o:hrstd="t" o:hr="t"/>
        </w:pict>
      </w:r>
    </w:p>
    <w:bookmarkEnd w:id="9"/>
    <w:bookmarkStart w:id="10" w:name="Xa2ccfab19a2f1eae9f1b3cdac7d007d9e25446b"/>
    <w:p>
      <w:pPr>
        <w:pStyle w:val="Heading2"/>
      </w:pPr>
      <w:r>
        <w:t xml:space="preserve">The Overhang: Dotcom Promotional Pricing &amp; Securities Scrutiny</w:t>
      </w:r>
    </w:p>
    <w:p>
      <w:pPr>
        <w:pStyle w:val="FirstParagraph"/>
      </w:pPr>
      <w:r>
        <w:t xml:space="preserve">The single biggest swing factor for sentiment right now isn't the AI roadmap — it's a disclosure controversy that emerged around the Q4 2025 print. GoDaddy revealed that the high demand for the promotion reduced upfront bookings and near-term revenue, impacting reported revenue growth for 2025, tied to a promotional pricing strategy for dotcom domains that led to lower-than-expected revenue and a 14% stock price drop. That disclosure has since drawn multiple law-firm investigations, with Kaplan Fox &amp; Kilsheimer LLP investigating GoDaddy Inc. for potential securities law violations tied to its past disclosure of fourth-quarter promotional pricing on dotcom domains and the resulting impact on reported revenue and bookings.</w:t>
      </w:r>
    </w:p>
    <w:p>
      <w:pPr>
        <w:pStyle w:val="BodyText"/>
      </w:pPr>
      <w:r>
        <w:t xml:space="preserve">Investors should listen closely on the call for: (1) any updated commentary or numbers on the pricing/promotion program's ongoing impact on bookings vs. revenue, (2) management's tone on the investigation, and (3) whether the "aggressive dotcom" dynamic is fully lapped or still bleeding into Q2/Q3 guidance. Notably, a surge in share prices has been noted following favorable market conditions for enterprise software companies, and more specifically, the recent surge followed the launch of GoDaddy's globally available Developer Platform in July 2026 — suggesting the market has started looking past the pricing issue toward the product roadmap, but the legal overhang has not been resolved.</w:t>
      </w:r>
    </w:p>
    <w:p>
      <w:r>
        <w:pict>
          <v:rect style="width:0;height:1.5pt" o:hralign="center" o:hrstd="t" o:hr="t"/>
        </w:pict>
      </w:r>
    </w:p>
    <w:bookmarkEnd w:id="10"/>
    <w:bookmarkStart w:id="11" w:name="X223f82275284bcf981f24ae72d96762b39a7e0e"/>
    <w:p>
      <w:pPr>
        <w:pStyle w:val="Heading2"/>
      </w:pPr>
      <w:r>
        <w:t xml:space="preserve">What Happened Last Quarter (Q1 2026) — The Baseline</w:t>
      </w:r>
    </w:p>
    <w:p>
      <w:pPr>
        <w:pStyle w:val="FirstParagraph"/>
      </w:pPr>
      <w:r>
        <w:t xml:space="preserve">GoDaddy's Q1 2026 print, reported April 30, is the jumping-off point for Q2 expectations:</w:t>
      </w:r>
    </w:p>
    <w:p>
      <w:pPr>
        <w:pStyle w:val="Compact"/>
        <w:numPr>
          <w:ilvl w:val="0"/>
          <w:numId w:val="1002"/>
        </w:numPr>
      </w:pPr>
      <w:r>
        <w:rPr>
          <w:b/>
          <w:bCs/>
        </w:rPr>
        <w:t xml:space="preserve">Revenue</w:t>
      </w:r>
      <w:r>
        <w:t xml:space="preserve"> </w:t>
      </w:r>
      <w:r>
        <w:t xml:space="preserve">grew 6% to $1.3 billion, with</w:t>
      </w:r>
      <w:r>
        <w:t xml:space="preserve"> </w:t>
      </w:r>
      <w:r>
        <w:rPr>
          <w:b/>
          <w:bCs/>
        </w:rPr>
        <w:t xml:space="preserve">ARR</w:t>
      </w:r>
      <w:r>
        <w:t xml:space="preserve"> </w:t>
      </w:r>
      <w:r>
        <w:t xml:space="preserve">up 6% to $4.3 billion.</w:t>
      </w:r>
    </w:p>
    <w:p>
      <w:pPr>
        <w:pStyle w:val="Compact"/>
        <w:numPr>
          <w:ilvl w:val="0"/>
          <w:numId w:val="1002"/>
        </w:numPr>
      </w:pPr>
      <w:r>
        <w:rPr>
          <w:b/>
          <w:bCs/>
        </w:rPr>
        <w:t xml:space="preserve">A&amp;C (Applications &amp; Commerce)</w:t>
      </w:r>
      <w:r>
        <w:t xml:space="preserve"> </w:t>
      </w:r>
      <w:r>
        <w:t xml:space="preserve">segment revenue grew 12% to ~$0.5B, now roughly 40% of total revenue, with segment EBITDA margin at 45%.</w:t>
      </w:r>
    </w:p>
    <w:p>
      <w:pPr>
        <w:pStyle w:val="Compact"/>
        <w:numPr>
          <w:ilvl w:val="0"/>
          <w:numId w:val="1002"/>
        </w:numPr>
      </w:pPr>
      <w:r>
        <w:rPr>
          <w:b/>
          <w:bCs/>
        </w:rPr>
        <w:t xml:space="preserve">Core Platform</w:t>
      </w:r>
      <w:r>
        <w:t xml:space="preserve"> </w:t>
      </w:r>
      <w:r>
        <w:t xml:space="preserve">revenue grew 3% to $769M, with margin expanding 150bps to 33%, but bookings there</w:t>
      </w:r>
      <w:r>
        <w:t xml:space="preserve"> </w:t>
      </w:r>
      <w:r>
        <w:rPr>
          <w:b/>
          <w:bCs/>
        </w:rPr>
        <w:t xml:space="preserve">declined 1%</w:t>
      </w:r>
      <w:r>
        <w:t xml:space="preserve"> </w:t>
      </w:r>
      <w:r>
        <w:t xml:space="preserve">due to softness in non-core hosting, the .CO registry contract expiration, and tough aftermarket comps.</w:t>
      </w:r>
    </w:p>
    <w:p>
      <w:pPr>
        <w:pStyle w:val="Compact"/>
        <w:numPr>
          <w:ilvl w:val="0"/>
          <w:numId w:val="1002"/>
        </w:numPr>
      </w:pPr>
      <w:r>
        <w:rPr>
          <w:b/>
          <w:bCs/>
        </w:rPr>
        <w:t xml:space="preserve">Total bookings</w:t>
      </w:r>
      <w:r>
        <w:t xml:space="preserve"> </w:t>
      </w:r>
      <w:r>
        <w:t xml:space="preserve">grew only 3% to $1.5B — management was explicit that this quarter reflects the peak impact of both these dynamics, and excluding any FX impact, we expect bookings and revenue growth rates to be at or above parity for the remainder of the year.</w:t>
      </w:r>
      <w:r>
        <w:t xml:space="preserve"> </w:t>
      </w:r>
      <w:r>
        <w:rPr>
          <w:b/>
          <w:bCs/>
        </w:rPr>
        <w:t xml:space="preserve">Q2 is the first real test of that promise.</w:t>
      </w:r>
    </w:p>
    <w:p>
      <w:pPr>
        <w:pStyle w:val="Compact"/>
        <w:numPr>
          <w:ilvl w:val="0"/>
          <w:numId w:val="1002"/>
        </w:numPr>
      </w:pPr>
      <w:r>
        <w:rPr>
          <w:b/>
          <w:bCs/>
        </w:rPr>
        <w:t xml:space="preserve">Normalized EBITDA</w:t>
      </w:r>
      <w:r>
        <w:t xml:space="preserve"> </w:t>
      </w:r>
      <w:r>
        <w:t xml:space="preserve">grew 13% to $414M (33% margin, +210bps), and</w:t>
      </w:r>
      <w:r>
        <w:t xml:space="preserve"> </w:t>
      </w:r>
      <w:r>
        <w:rPr>
          <w:b/>
          <w:bCs/>
        </w:rPr>
        <w:t xml:space="preserve">free cash flow</w:t>
      </w:r>
      <w:r>
        <w:t xml:space="preserve"> </w:t>
      </w:r>
      <w:r>
        <w:t xml:space="preserve">grew 15% to $474M (TTM FCF of $1.68B).</w:t>
      </w:r>
    </w:p>
    <w:p>
      <w:pPr>
        <w:pStyle w:val="Compact"/>
        <w:numPr>
          <w:ilvl w:val="0"/>
          <w:numId w:val="1002"/>
        </w:numPr>
      </w:pPr>
      <w:r>
        <w:t xml:space="preserve">ARPU grew 9% to $246, with second-product attach for Airo cohorts accelerating "30% faster relative to non-Airo cohorts."</w:t>
      </w:r>
    </w:p>
    <w:p>
      <w:pPr>
        <w:pStyle w:val="Compact"/>
        <w:numPr>
          <w:ilvl w:val="0"/>
          <w:numId w:val="1002"/>
        </w:numPr>
      </w:pPr>
      <w:r>
        <w:t xml:space="preserve">Capital return: 3 million shares repurchased for $280M in the quarter; fully diluted share count down to 133M (a &gt;31% reduction since 2022).</w:t>
      </w:r>
    </w:p>
    <w:p>
      <w:pPr>
        <w:pStyle w:val="FirstParagraph"/>
      </w:pPr>
      <w:r>
        <w:rPr>
          <w:b/>
          <w:bCs/>
        </w:rPr>
        <w:t xml:space="preserve">Q2 guidance given on the April call:</w:t>
      </w:r>
      <w:r>
        <w:t xml:space="preserve"> </w:t>
      </w:r>
      <w:r>
        <w:t xml:space="preserve">revenue of</w:t>
      </w:r>
      <w:r>
        <w:t xml:space="preserve"> </w:t>
      </w:r>
      <m:oMath>
        <m:r>
          <m:t>1.285</m:t>
        </m:r>
        <m:r>
          <m:t>B</m:t>
        </m:r>
        <m:r>
          <m:rPr>
            <m:sty m:val="p"/>
          </m:rPr>
          <m:t>–</m:t>
        </m:r>
      </m:oMath>
      <w:r>
        <w:t xml:space="preserve">1.305B (6% growth at midpoint), A&amp;C growth in the low double digits, Core Platform in the low single digits, and normalized EBITDA margin of ~33%. Full-year guidance was reaffirmed at</w:t>
      </w:r>
      <w:r>
        <w:t xml:space="preserve"> </w:t>
      </w:r>
      <m:oMath>
        <m:r>
          <m:t>5.195</m:t>
        </m:r>
        <m:r>
          <m:t>B</m:t>
        </m:r>
        <m:r>
          <m:rPr>
            <m:sty m:val="p"/>
          </m:rPr>
          <m:t>–</m:t>
        </m:r>
      </m:oMath>
      <w:r>
        <w:t xml:space="preserve">5.275B revenue, &gt;33% EBITDA margin, and ~$1.8B free cash flow.</w:t>
      </w:r>
    </w:p>
    <w:p>
      <w:pPr>
        <w:pStyle w:val="BodyText"/>
      </w:pPr>
      <w:r>
        <w:rPr>
          <w:b/>
          <w:bCs/>
        </w:rPr>
        <w:t xml:space="preserve">Watch item:</w:t>
      </w:r>
      <w:r>
        <w:t xml:space="preserve"> </w:t>
      </w:r>
      <w:r>
        <w:t xml:space="preserve">consensus revenue of $1.29B sits almost exactly at the midpoint of guidance — so this is a "meet expectations or bust" setup with little room for a soft beat to be well-received given the current sentiment backdrop.</w:t>
      </w:r>
    </w:p>
    <w:p>
      <w:r>
        <w:pict>
          <v:rect style="width:0;height:1.5pt" o:hralign="center" o:hrstd="t" o:hr="t"/>
        </w:pict>
      </w:r>
    </w:p>
    <w:bookmarkEnd w:id="11"/>
    <w:bookmarkStart w:id="12" w:name="key-themes-to-watch-on-the-call"/>
    <w:p>
      <w:pPr>
        <w:pStyle w:val="Heading2"/>
      </w:pPr>
      <w:r>
        <w:t xml:space="preserve">Key Themes to Watch on the Call</w:t>
      </w:r>
    </w:p>
    <w:p>
      <w:pPr>
        <w:pStyle w:val="FirstParagraph"/>
      </w:pPr>
      <w:r>
        <w:rPr>
          <w:b/>
          <w:bCs/>
        </w:rPr>
        <w:t xml:space="preserve">1. AI monetization proof points — is Airo AI Builder scaling?</w:t>
      </w:r>
      <w:r>
        <w:t xml:space="preserve"> </w:t>
      </w:r>
      <w:r>
        <w:t xml:space="preserve">Last quarter, management disclosed Airo AI Builder has rapidly scaled to $10 million plus in annualized bookings run rate within weeks of its beta launch, with plans to add paid marketing starting in Q2, funded through internal efficiencies rather than incremental spend. Investors should expect an updated run-rate figure and commentary on how much of the ramp is subscription vs. credit/token consumption, and whether marketing spend is showing payback.</w:t>
      </w:r>
    </w:p>
    <w:p>
      <w:pPr>
        <w:pStyle w:val="BodyText"/>
      </w:pPr>
      <w:r>
        <w:rPr>
          <w:b/>
          <w:bCs/>
        </w:rPr>
        <w:t xml:space="preserve">2. Developer Platform launch</w:t>
      </w:r>
      <w:r>
        <w:t xml:space="preserve"> </w:t>
      </w:r>
      <w:r>
        <w:t xml:space="preserve">In mid-July, GoDaddy launched its free, globally available Developer Platform, introducing new domain APIs, OAuth-based access controls, an AI-friendly CLI, and a rebuilt, LLM-optimized developer portal aimed at developers, agencies, and resellers. This is a new distribution/monetization vector that wasn't discussed in as much detail on the Q1 call — expect management to frame its strategic importance and any early adoption metrics.</w:t>
      </w:r>
    </w:p>
    <w:p>
      <w:pPr>
        <w:pStyle w:val="BodyText"/>
      </w:pPr>
      <w:r>
        <w:rPr>
          <w:b/>
          <w:bCs/>
        </w:rPr>
        <w:t xml:space="preserve">3. Agent Name Service (ANS)</w:t>
      </w:r>
      <w:r>
        <w:t xml:space="preserve"> </w:t>
      </w:r>
      <w:r>
        <w:t xml:space="preserve">GoDaddy's bet on domains as the identity layer for AI agents continues to be a qualitative, not yet quantitative, story. Any update on partnership signings or the scale of non-GoDaddy agents on ANS will matter for the long-duration bull case, even if immaterial to near-term financials.</w:t>
      </w:r>
    </w:p>
    <w:p>
      <w:pPr>
        <w:pStyle w:val="BodyText"/>
      </w:pPr>
      <w:r>
        <w:rPr>
          <w:b/>
          <w:bCs/>
        </w:rPr>
        <w:t xml:space="preserve">4. Bookings/revenue parity confirmation</w:t>
      </w:r>
      <w:r>
        <w:t xml:space="preserve"> </w:t>
      </w:r>
      <w:r>
        <w:t xml:space="preserve">This is the most important number on the tape. If Q2 bookings growth doesn't show the promised reacceleration toward parity with revenue growth, it will reinforce bear concerns about demand quality post-promotion and could reignite the disclosure controversy.</w:t>
      </w:r>
    </w:p>
    <w:p>
      <w:pPr>
        <w:pStyle w:val="BodyText"/>
      </w:pPr>
      <w:r>
        <w:rPr>
          <w:b/>
          <w:bCs/>
        </w:rPr>
        <w:t xml:space="preserve">5. Margin trajectory and capital return</w:t>
      </w:r>
      <w:r>
        <w:t xml:space="preserve"> </w:t>
      </w:r>
      <w:r>
        <w:t xml:space="preserve">Watch EBITDA margin (guided ~33%) and free cash flow conversion, plus buyback pace — Q1 buybacks ($280M) were flagged by analysts as running below the historical ~95% FCF payout rate, with cash building to the highest level since mid-2021, raising questions about capital allocation priorities (buybacks vs. M&amp;A).</w:t>
      </w:r>
    </w:p>
    <w:p>
      <w:r>
        <w:pict>
          <v:rect style="width:0;height:1.5pt" o:hralign="center" o:hrstd="t" o:hr="t"/>
        </w:pict>
      </w:r>
    </w:p>
    <w:bookmarkEnd w:id="12"/>
    <w:bookmarkStart w:id="13" w:name="analyst--market-positioning"/>
    <w:p>
      <w:pPr>
        <w:pStyle w:val="Heading2"/>
      </w:pPr>
      <w:r>
        <w:t xml:space="preserve">Analyst &amp; Market Positioning</w:t>
      </w:r>
    </w:p>
    <w:p>
      <w:pPr>
        <w:pStyle w:val="FirstParagraph"/>
      </w:pPr>
      <w:r>
        <w:t xml:space="preserve">Sell-side sentiment is mixed but net constructive, though several firms have trimmed targets this year: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Firm</w:t>
            </w:r>
          </w:p>
        </w:tc>
        <w:tc>
          <w:tcPr/>
          <w:p>
            <w:pPr>
              <w:pStyle w:val="Compact"/>
            </w:pPr>
            <w:r>
              <w:t xml:space="preserve">Rating</w:t>
            </w:r>
          </w:p>
        </w:tc>
        <w:tc>
          <w:tcPr/>
          <w:p>
            <w:pPr>
              <w:pStyle w:val="Compact"/>
            </w:pPr>
            <w:r>
              <w:t xml:space="preserve">Price Target</w:t>
            </w:r>
          </w:p>
        </w:tc>
        <w:tc>
          <w:tcPr/>
          <w:p>
            <w:pPr>
              <w:pStyle w:val="Compact"/>
            </w:pPr>
            <w:r>
              <w:t xml:space="preserve">Note</w:t>
            </w:r>
          </w:p>
        </w:tc>
      </w:tr>
      <w:tr>
        <w:tc>
          <w:tcPr/>
          <w:p>
            <w:pPr>
              <w:pStyle w:val="Compact"/>
            </w:pPr>
            <w:r>
              <w:t xml:space="preserve">JPMorgan</w:t>
            </w:r>
          </w:p>
        </w:tc>
        <w:tc>
          <w:tcPr/>
          <w:p>
            <w:pPr>
              <w:pStyle w:val="Compact"/>
            </w:pPr>
            <w:r>
              <w:t xml:space="preserve">Overweight</w:t>
            </w:r>
          </w:p>
        </w:tc>
        <w:tc>
          <w:tcPr/>
          <w:p>
            <w:pPr>
              <w:pStyle w:val="Compact"/>
            </w:pPr>
            <w:r>
              <w:t xml:space="preserve">$124 (cut from $154)</w:t>
            </w:r>
          </w:p>
        </w:tc>
        <w:tc>
          <w:tcPr/>
          <w:p>
            <w:pPr>
              <w:pStyle w:val="Compact"/>
            </w:pPr>
            <w:r>
              <w:t xml:space="preserve">JPMorgan lowered the firm's price target on GoDaddy (GDDY) to $124 from $154 and keeps an Overweight rating on the shares</w:t>
            </w:r>
          </w:p>
        </w:tc>
      </w:tr>
      <w:tr>
        <w:tc>
          <w:tcPr/>
          <w:p>
            <w:pPr>
              <w:pStyle w:val="Compact"/>
            </w:pPr>
            <w:r>
              <w:t xml:space="preserve">Wedbush</w:t>
            </w:r>
          </w:p>
        </w:tc>
        <w:tc>
          <w:tcPr/>
          <w:p>
            <w:pPr>
              <w:pStyle w:val="Compact"/>
            </w:pPr>
            <w:r>
              <w:t xml:space="preserve">Outperform</w:t>
            </w:r>
          </w:p>
        </w:tc>
        <w:tc>
          <w:tcPr/>
          <w:p>
            <w:pPr>
              <w:pStyle w:val="Compact"/>
            </w:pPr>
            <w:r>
              <w:t xml:space="preserve">$109 (initiated)</w:t>
            </w:r>
          </w:p>
        </w:tc>
        <w:tc>
          <w:tcPr/>
          <w:p>
            <w:pPr>
              <w:pStyle w:val="Compact"/>
            </w:pPr>
            <w:r>
              <w:t xml:space="preserve">New coverage initiation</w:t>
            </w:r>
          </w:p>
        </w:tc>
      </w:tr>
      <w:tr>
        <w:tc>
          <w:tcPr/>
          <w:p>
            <w:pPr>
              <w:pStyle w:val="Compact"/>
            </w:pPr>
            <w:r>
              <w:t xml:space="preserve">UBS</w:t>
            </w:r>
          </w:p>
        </w:tc>
        <w:tc>
          <w:tcPr/>
          <w:p>
            <w:pPr>
              <w:pStyle w:val="Compact"/>
            </w:pPr>
            <w:r>
              <w:t xml:space="preserve">Neutral</w:t>
            </w:r>
          </w:p>
        </w:tc>
        <w:tc>
          <w:tcPr/>
          <w:p>
            <w:pPr>
              <w:pStyle w:val="Compact"/>
            </w:pPr>
            <w:r>
              <w:t xml:space="preserve">$100 (cut from $105)</w:t>
            </w:r>
          </w:p>
        </w:tc>
        <w:tc>
          <w:tcPr/>
          <w:p>
            <w:pPr>
              <w:pStyle w:val="Compact"/>
            </w:pPr>
            <w:r>
              <w:t xml:space="preserve">Coverage assumption</w:t>
            </w:r>
          </w:p>
        </w:tc>
      </w:tr>
      <w:tr>
        <w:tc>
          <w:tcPr/>
          <w:p>
            <w:pPr>
              <w:pStyle w:val="Compact"/>
            </w:pPr>
            <w:r>
              <w:t xml:space="preserve">Wells Fargo</w:t>
            </w:r>
          </w:p>
        </w:tc>
        <w:tc>
          <w:tcPr/>
          <w:p>
            <w:pPr>
              <w:pStyle w:val="Compact"/>
            </w:pPr>
            <w:r>
              <w:t xml:space="preserve">Equal Weight</w:t>
            </w:r>
          </w:p>
        </w:tc>
        <w:tc>
          <w:tcPr/>
          <w:p>
            <w:pPr>
              <w:pStyle w:val="Compact"/>
            </w:pPr>
            <w:r>
              <w:t xml:space="preserve">$83 (raised from $77)</w:t>
            </w:r>
          </w:p>
        </w:tc>
        <w:tc>
          <w:tcPr/>
          <w:p>
            <w:pPr>
              <w:pStyle w:val="Compact"/>
            </w:pPr>
          </w:p>
        </w:tc>
      </w:tr>
      <w:tr>
        <w:tc>
          <w:tcPr/>
          <w:p>
            <w:pPr>
              <w:pStyle w:val="Compact"/>
            </w:pPr>
            <w:r>
              <w:t xml:space="preserve">RBC</w:t>
            </w:r>
          </w:p>
        </w:tc>
        <w:tc>
          <w:tcPr/>
          <w:p>
            <w:pPr>
              <w:pStyle w:val="Compact"/>
            </w:pPr>
            <w:r>
              <w:t xml:space="preserve">—</w:t>
            </w:r>
          </w:p>
        </w:tc>
        <w:tc>
          <w:tcPr/>
          <w:p>
            <w:pPr>
              <w:pStyle w:val="Compact"/>
            </w:pPr>
            <w:r>
              <w:t xml:space="preserve">—</w:t>
            </w:r>
          </w:p>
        </w:tc>
        <w:tc>
          <w:tcPr/>
          <w:p>
            <w:pPr>
              <w:pStyle w:val="Compact"/>
            </w:pPr>
            <w:r>
              <w:t xml:space="preserve">RBC Capital Sticks to Their Buy Rating for GoDaddy</w:t>
            </w:r>
          </w:p>
        </w:tc>
      </w:tr>
    </w:tbl>
    <w:p>
      <w:pPr>
        <w:pStyle w:val="BodyText"/>
      </w:pPr>
      <w:r>
        <w:t xml:space="preserve">Broader consensus: According to 17 analysts, the average rating for GDDY stock is "Buy," with a 12-month stock price target of $111.93, an increase of 9.15% from the latest price. On valuation, GDDY currently trades around 15x trailing earnings versus a 5-year median in the low-30s, reflecting the sentiment reset from both the pricing controversy and slower bookings growth. Notably, insiders have sold $1.6 million worth of GDDY stock in the last three months, with no reported purchases — a modest but persistent negative signal on positioning.</w:t>
      </w:r>
    </w:p>
    <w:p>
      <w:r>
        <w:pict>
          <v:rect style="width:0;height:1.5pt" o:hralign="center" o:hrstd="t" o:hr="t"/>
        </w:pict>
      </w:r>
    </w:p>
    <w:bookmarkEnd w:id="13"/>
    <w:bookmarkStart w:id="14" w:name="bottom-line"/>
    <w:p>
      <w:pPr>
        <w:pStyle w:val="Heading2"/>
      </w:pPr>
      <w:r>
        <w:t xml:space="preserve">Bottom Line</w:t>
      </w:r>
    </w:p>
    <w:p>
      <w:pPr>
        <w:pStyle w:val="FirstParagraph"/>
      </w:pPr>
      <w:r>
        <w:t xml:space="preserve">GoDaddy heads into Thursday's print as a show-me story on two fronts: (1) whether the AI product suite (Airo AI Builder, the new Developer Platform, ANS) is starting to move the growth needle in a measurable way, and (2) whether bookings growth actually reaccelerates toward parity with revenue as management promised, putting the Q4 2025 dotcom-promotion stumble and the related securities investigation in the rearview mirror. Guidance is tight around consensus, the stock has already run up sharply into the print, and the options market/analyst base is split between a "cheap, AI-optionality" bull case and a "decelerating bookings, governance overhang" bear case. Given the size of the pre-earnings rally, the bar for a positive reaction may actually be higher than the modest headline growth numbers suggest — commentary on bookings trajectory and the pricing investigation is likely to matter more to the stock than the reported revenue/EPS beat itself.</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2026-07-29T19:36:31Z</dcterms:created>
  <dcterms:modified xsi:type="dcterms:W3CDTF">2026-07-29T19:36:31Z</dcterms:modified>
</cp:coreProperties>
</file>

<file path=docProps/custom.xml><?xml version="1.0" encoding="utf-8"?>
<Properties xmlns="http://schemas.openxmlformats.org/officeDocument/2006/custom-properties" xmlns:vt="http://schemas.openxmlformats.org/officeDocument/2006/docPropsVTypes"/>
</file>