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9" w:name="X7eaf745cf89657393e5b5f64e186b49e329bb1c"/>
    <w:p>
      <w:pPr>
        <w:pStyle w:val="Heading1"/>
      </w:pPr>
      <w:r>
        <w:t xml:space="preserve">GoDaddy (NYSE: GDDY) — Q2 2026 Earnings Preview</w:t>
      </w:r>
    </w:p>
    <w:p>
      <w:pPr>
        <w:pStyle w:val="FirstParagraph"/>
      </w:pPr>
      <w:r>
        <w:rPr>
          <w:b/>
          <w:bCs/>
        </w:rPr>
        <w:t xml:space="preserve">Report:</w:t>
      </w:r>
      <w:r>
        <w:t xml:space="preserve"> </w:t>
      </w:r>
      <w:r>
        <w:t xml:space="preserve">Thursday, July 30, 2026, after market close</w:t>
      </w:r>
      <w:r>
        <w:br/>
      </w:r>
      <w:r>
        <w:rPr>
          <w:b/>
          <w:bCs/>
        </w:rPr>
        <w:t xml:space="preserve">Earnings call:</w:t>
      </w:r>
      <w:r>
        <w:t xml:space="preserve"> </w:t>
      </w:r>
      <w:r>
        <w:t xml:space="preserve">5:00 p.m. ET</w:t>
      </w:r>
      <w:r>
        <w:br/>
      </w:r>
      <w:r>
        <w:rPr>
          <w:b/>
          <w:bCs/>
        </w:rPr>
        <w:t xml:space="preserve">Period:</w:t>
      </w:r>
      <w:r>
        <w:t xml:space="preserve"> </w:t>
      </w:r>
      <w:r>
        <w:t xml:space="preserve">Quarter ended June 30, 2026 (</w:t>
      </w:r>
      <w:hyperlink r:id="rId9">
        <w:r>
          <w:rPr>
            <w:rStyle w:val="Hyperlink"/>
          </w:rPr>
          <w:t xml:space="preserve">aboutus.godaddy.net</w:t>
        </w:r>
      </w:hyperlink>
      <w:r>
        <w:t xml:space="preserve">)</w:t>
      </w:r>
    </w:p>
    <w:bookmarkStart w:id="10" w:name="investment-view-going-into-the-quarter"/>
    <w:p>
      <w:pPr>
        <w:pStyle w:val="Heading2"/>
      </w:pPr>
      <w:r>
        <w:t xml:space="preserve">Investment view going into the quarter</w:t>
      </w:r>
    </w:p>
    <w:p>
      <w:pPr>
        <w:pStyle w:val="FirstParagraph"/>
      </w:pPr>
      <w:r>
        <w:t xml:space="preserve">The headline numbers should be relatively straightforward: GoDaddy guided Q2 revenue to approximately 6% growth and normalized EBITDA margin to roughly 33%. The more consequential question is whether</w:t>
      </w:r>
      <w:r>
        <w:t xml:space="preserve"> </w:t>
      </w:r>
      <w:r>
        <w:rPr>
          <w:b/>
          <w:bCs/>
        </w:rPr>
        <w:t xml:space="preserve">bookings have reaccelerated to match revenue growth</w:t>
      </w:r>
      <w:r>
        <w:t xml:space="preserve">, as management promised after a soft Q1.</w:t>
      </w:r>
    </w:p>
    <w:p>
      <w:pPr>
        <w:pStyle w:val="BodyText"/>
      </w:pPr>
      <w:r>
        <w:t xml:space="preserve">Beyond that, investors need evidence that GoDaddy’s AI strategy is becoming a durable growth driver rather than merely an efficiency program. The most important update will be the trajectory of</w:t>
      </w:r>
      <w:r>
        <w:t xml:space="preserve"> </w:t>
      </w:r>
      <w:r>
        <w:rPr>
          <w:b/>
          <w:bCs/>
        </w:rPr>
        <w:t xml:space="preserve">Airo AI Builder</w:t>
      </w:r>
      <w:r>
        <w:t xml:space="preserve">, which reached more than $10 million in annualized bookings shortly after beta launch but was still receiving limited traffic and marketing support at the end of Q1.</w:t>
      </w:r>
    </w:p>
    <w:p>
      <w:pPr>
        <w:pStyle w:val="BodyText"/>
      </w:pPr>
      <w:r>
        <w:t xml:space="preserve">The setup is attractive but not undemanding. At the July 29 close of</w:t>
      </w:r>
      <w:r>
        <w:t xml:space="preserve"> </w:t>
      </w:r>
      <w:r>
        <w:rPr>
          <w:b/>
          <w:bCs/>
        </w:rPr>
        <w:t xml:space="preserve">$105.44</w:t>
      </w:r>
      <w:r>
        <w:t xml:space="preserve">, GDDY has rallied approximately</w:t>
      </w:r>
      <w:r>
        <w:t xml:space="preserve"> </w:t>
      </w:r>
      <w:r>
        <w:rPr>
          <w:b/>
          <w:bCs/>
        </w:rPr>
        <w:t xml:space="preserve">13% over the past three trading sessions</w:t>
      </w:r>
      <w:r>
        <w:t xml:space="preserve"> </w:t>
      </w:r>
      <w:r>
        <w:t xml:space="preserve">and 28% since March 31, although it remains roughly 11% below its 2025 year-end level. A merely in-line quarter may therefore need convincing bookings and guidance commentary to hold the recent gains.</w:t>
      </w:r>
    </w:p>
    <w:p>
      <w:r>
        <w:pict>
          <v:rect style="width:0;height:1.5pt" o:hralign="center" o:hrstd="t" o:hr="t"/>
        </w:pict>
      </w:r>
    </w:p>
    <w:bookmarkEnd w:id="10"/>
    <w:bookmarkStart w:id="14" w:name="q2-scorecard"/>
    <w:p>
      <w:pPr>
        <w:pStyle w:val="Heading2"/>
      </w:pPr>
      <w:r>
        <w:t xml:space="preserve">Q2 scorecard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reference point</w:t>
            </w:r>
          </w:p>
        </w:tc>
        <w:tc>
          <w:tcPr/>
          <w:p>
            <w:pPr>
              <w:pStyle w:val="Compact"/>
              <w:jc w:val="right"/>
            </w:pPr>
            <w:r>
              <w:t xml:space="preserve">Q2 2025</w:t>
            </w:r>
          </w:p>
        </w:tc>
        <w:tc>
          <w:tcPr/>
          <w:p>
            <w:pPr>
              <w:pStyle w:val="Compact"/>
            </w:pPr>
            <w:r>
              <w:t xml:space="preserve">What would be encouraging</w:t>
            </w:r>
          </w:p>
        </w:tc>
      </w:tr>
      <w:tr>
        <w:tc>
          <w:tcPr/>
          <w:p>
            <w:pPr>
              <w:pStyle w:val="Compact"/>
            </w:pPr>
            <w:r>
              <w:t xml:space="preserve">Revenue</w:t>
            </w:r>
          </w:p>
        </w:tc>
        <w:tc>
          <w:tcPr/>
          <w:p>
            <w:pPr>
              <w:pStyle w:val="Compact"/>
              <w:jc w:val="right"/>
            </w:pPr>
            <w:r>
              <w:t xml:space="preserve">Company guide:</w:t>
            </w:r>
            <w:r>
              <w:t xml:space="preserve"> </w:t>
            </w:r>
            <m:oMath>
              <m:r>
                <m:t>1.285</m:t>
              </m:r>
              <m:r>
                <m:t>B</m:t>
              </m:r>
              <m:r>
                <m:rPr>
                  <m:sty m:val="p"/>
                </m:rPr>
                <m:t>–</m:t>
              </m:r>
            </m:oMath>
            <w:r>
              <w:rPr>
                <w:b/>
                <w:bCs/>
              </w:rPr>
              <w:t xml:space="preserve">1.305B</w:t>
            </w:r>
            <w:r>
              <w:t xml:space="preserve">; Street near</w:t>
            </w:r>
            <w:r>
              <w:t xml:space="preserve"> </w:t>
            </w:r>
            <w:r>
              <w:rPr>
                <w:b/>
                <w:bCs/>
              </w:rPr>
              <w:t xml:space="preserve">$1.29B</w:t>
            </w:r>
          </w:p>
        </w:tc>
        <w:tc>
          <w:tcPr/>
          <w:p>
            <w:pPr>
              <w:pStyle w:val="Compact"/>
              <w:jc w:val="right"/>
            </w:pPr>
            <w:r>
              <w:t xml:space="preserve">$1.218B</w:t>
            </w:r>
          </w:p>
        </w:tc>
        <w:tc>
          <w:tcPr/>
          <w:p>
            <w:pPr>
              <w:pStyle w:val="Compact"/>
            </w:pPr>
            <w:r>
              <w:t xml:space="preserve">Above the high end, or strong underlying growth despite known headwinds</w:t>
            </w:r>
          </w:p>
        </w:tc>
      </w:tr>
      <w:tr>
        <w:tc>
          <w:tcPr/>
          <w:p>
            <w:pPr>
              <w:pStyle w:val="Compact"/>
            </w:pPr>
            <w:r>
              <w:t xml:space="preserve">Adjusted/normalized EPS</w:t>
            </w:r>
          </w:p>
        </w:tc>
        <w:tc>
          <w:tcPr/>
          <w:p>
            <w:pPr>
              <w:pStyle w:val="Compact"/>
              <w:jc w:val="right"/>
            </w:pPr>
            <w:r>
              <w:t xml:space="preserve">Aggregators cluster around</w:t>
            </w:r>
            <w:r>
              <w:t xml:space="preserve"> </w:t>
            </w:r>
            <m:oMath>
              <m:r>
                <m:t>1.69</m:t>
              </m:r>
              <m:r>
                <m:rPr>
                  <m:sty m:val="p"/>
                </m:rPr>
                <m:t>–</m:t>
              </m:r>
            </m:oMath>
            <w:r>
              <w:rPr>
                <w:b/>
                <w:bCs/>
              </w:rPr>
              <w:t xml:space="preserve">1.72</w:t>
            </w:r>
          </w:p>
        </w:tc>
        <w:tc>
          <w:tcPr/>
          <w:p>
            <w:pPr>
              <w:pStyle w:val="Compact"/>
              <w:jc w:val="right"/>
            </w:pPr>
            <w:r>
              <w:t xml:space="preserve">$1.41</w:t>
            </w:r>
          </w:p>
        </w:tc>
        <w:tc>
          <w:tcPr/>
          <w:p>
            <w:pPr>
              <w:pStyle w:val="Compact"/>
            </w:pPr>
            <w:r>
              <w:t xml:space="preserve">Beat driven by operating leverage and lower share count, not unusual tax items</w:t>
            </w:r>
          </w:p>
        </w:tc>
      </w:tr>
      <w:tr>
        <w:tc>
          <w:tcPr/>
          <w:p>
            <w:pPr>
              <w:pStyle w:val="Compact"/>
            </w:pPr>
            <w:r>
              <w:t xml:space="preserve">Normalized EBITDA margin</w:t>
            </w:r>
          </w:p>
        </w:tc>
        <w:tc>
          <w:tcPr/>
          <w:p>
            <w:pPr>
              <w:pStyle w:val="Compact"/>
              <w:jc w:val="right"/>
            </w:pPr>
            <w:r>
              <w:t xml:space="preserve">Approximately</w:t>
            </w:r>
            <w:r>
              <w:t xml:space="preserve"> </w:t>
            </w:r>
            <w:r>
              <w:rPr>
                <w:b/>
                <w:bCs/>
              </w:rPr>
              <w:t xml:space="preserve">33%</w:t>
            </w:r>
          </w:p>
        </w:tc>
        <w:tc>
          <w:tcPr/>
          <w:p>
            <w:pPr>
              <w:pStyle w:val="Compact"/>
              <w:jc w:val="right"/>
            </w:pPr>
            <w:r>
              <w:t xml:space="preserve">31.3%</w:t>
            </w:r>
          </w:p>
        </w:tc>
        <w:tc>
          <w:tcPr/>
          <w:p>
            <w:pPr>
              <w:pStyle w:val="Compact"/>
            </w:pPr>
            <w:r>
              <w:t xml:space="preserve">33% or better while funding Airo marketing and compute</w:t>
            </w:r>
          </w:p>
        </w:tc>
      </w:tr>
      <w:tr>
        <w:tc>
          <w:tcPr/>
          <w:p>
            <w:pPr>
              <w:pStyle w:val="Compact"/>
            </w:pPr>
            <w:r>
              <w:t xml:space="preserve">Implied normalized EBITDA</w:t>
            </w:r>
          </w:p>
        </w:tc>
        <w:tc>
          <w:tcPr/>
          <w:p>
            <w:pPr>
              <w:pStyle w:val="Compact"/>
              <w:jc w:val="right"/>
            </w:pPr>
            <w:r>
              <w:t xml:space="preserve">Roughly</w:t>
            </w:r>
            <w:r>
              <w:t xml:space="preserve"> </w:t>
            </w:r>
            <m:oMath>
              <m:r>
                <m:t>424</m:t>
              </m:r>
              <m:r>
                <m:t>M</m:t>
              </m:r>
              <m:r>
                <m:rPr>
                  <m:sty m:val="p"/>
                </m:rPr>
                <m:t>–</m:t>
              </m:r>
            </m:oMath>
            <w:r>
              <w:rPr>
                <w:b/>
                <w:bCs/>
              </w:rPr>
              <w:t xml:space="preserve">431M</w:t>
            </w:r>
          </w:p>
        </w:tc>
        <w:tc>
          <w:tcPr/>
          <w:p>
            <w:pPr>
              <w:pStyle w:val="Compact"/>
              <w:jc w:val="right"/>
            </w:pPr>
            <w:r>
              <w:t xml:space="preserve">$381.7M</w:t>
            </w:r>
          </w:p>
        </w:tc>
        <w:tc>
          <w:tcPr/>
          <w:p>
            <w:pPr>
              <w:pStyle w:val="Compact"/>
            </w:pPr>
            <w:r>
              <w:t xml:space="preserve">Around $430M or higher</w:t>
            </w:r>
          </w:p>
        </w:tc>
      </w:tr>
      <w:tr>
        <w:tc>
          <w:tcPr/>
          <w:p>
            <w:pPr>
              <w:pStyle w:val="Compact"/>
            </w:pPr>
            <w:r>
              <w:t xml:space="preserve">Total bookings</w:t>
            </w:r>
          </w:p>
        </w:tc>
        <w:tc>
          <w:tcPr/>
          <w:p>
            <w:pPr>
              <w:pStyle w:val="Compact"/>
              <w:jc w:val="right"/>
            </w:pPr>
            <w:r>
              <w:t xml:space="preserve">No explicit numerical guide; management said growth should be at or above revenue growth</w:t>
            </w:r>
          </w:p>
        </w:tc>
        <w:tc>
          <w:tcPr/>
          <w:p>
            <w:pPr>
              <w:pStyle w:val="Compact"/>
              <w:jc w:val="right"/>
            </w:pPr>
            <w:r>
              <w:t xml:space="preserve">$1.345B</w:t>
            </w:r>
          </w:p>
        </w:tc>
        <w:tc>
          <w:tcPr/>
          <w:p>
            <w:pPr>
              <w:pStyle w:val="Compact"/>
            </w:pPr>
            <w:r>
              <w:t xml:space="preserve">Approximately</w:t>
            </w:r>
            <w:r>
              <w:t xml:space="preserve"> </w:t>
            </w:r>
            <w:r>
              <w:rPr>
                <w:b/>
                <w:bCs/>
              </w:rPr>
              <w:t xml:space="preserve">$1.43B</w:t>
            </w:r>
            <w:r>
              <w:t xml:space="preserve">, or at least 6% growth</w:t>
            </w:r>
          </w:p>
        </w:tc>
      </w:tr>
      <w:tr>
        <w:tc>
          <w:tcPr/>
          <w:p>
            <w:pPr>
              <w:pStyle w:val="Compact"/>
            </w:pPr>
            <w:r>
              <w:t xml:space="preserve">A&amp;C revenue growth</w:t>
            </w:r>
          </w:p>
        </w:tc>
        <w:tc>
          <w:tcPr/>
          <w:p>
            <w:pPr>
              <w:pStyle w:val="Compact"/>
              <w:jc w:val="right"/>
            </w:pPr>
            <w:r>
              <w:t xml:space="preserve">Low double digits</w:t>
            </w:r>
          </w:p>
        </w:tc>
        <w:tc>
          <w:tcPr/>
          <w:p>
            <w:pPr>
              <w:pStyle w:val="Compact"/>
              <w:jc w:val="right"/>
            </w:pPr>
            <w:r>
              <w:t xml:space="preserve">14.4%</w:t>
            </w:r>
          </w:p>
        </w:tc>
        <w:tc>
          <w:tcPr/>
          <w:p>
            <w:pPr>
              <w:pStyle w:val="Compact"/>
            </w:pPr>
            <w:r>
              <w:t xml:space="preserve">11%–12%+, with better bookings momentum</w:t>
            </w:r>
          </w:p>
        </w:tc>
      </w:tr>
      <w:tr>
        <w:tc>
          <w:tcPr/>
          <w:p>
            <w:pPr>
              <w:pStyle w:val="Compact"/>
            </w:pPr>
            <w:r>
              <w:t xml:space="preserve">Core revenue growth</w:t>
            </w:r>
          </w:p>
        </w:tc>
        <w:tc>
          <w:tcPr/>
          <w:p>
            <w:pPr>
              <w:pStyle w:val="Compact"/>
              <w:jc w:val="right"/>
            </w:pPr>
            <w:r>
              <w:t xml:space="preserve">Low single digits</w:t>
            </w:r>
          </w:p>
        </w:tc>
        <w:tc>
          <w:tcPr/>
          <w:p>
            <w:pPr>
              <w:pStyle w:val="Compact"/>
              <w:jc w:val="right"/>
            </w:pPr>
            <w:r>
              <w:t xml:space="preserve">4.8%</w:t>
            </w:r>
          </w:p>
        </w:tc>
        <w:tc>
          <w:tcPr/>
          <w:p>
            <w:pPr>
              <w:pStyle w:val="Compact"/>
            </w:pPr>
            <w:r>
              <w:t xml:space="preserve">3%–4%, especially if non-core hosting stabilizes</w:t>
            </w:r>
          </w:p>
        </w:tc>
      </w:tr>
      <w:tr>
        <w:tc>
          <w:tcPr/>
          <w:p>
            <w:pPr>
              <w:pStyle w:val="Compact"/>
            </w:pPr>
            <w:r>
              <w:t xml:space="preserve">FY2026 FCF</w:t>
            </w:r>
          </w:p>
        </w:tc>
        <w:tc>
          <w:tcPr/>
          <w:p>
            <w:pPr>
              <w:pStyle w:val="Compact"/>
              <w:jc w:val="right"/>
            </w:pPr>
            <w:r>
              <w:t xml:space="preserve">Approximately</w:t>
            </w:r>
            <w:r>
              <w:t xml:space="preserve"> </w:t>
            </w:r>
            <w:r>
              <w:rPr>
                <w:b/>
                <w:bCs/>
              </w:rPr>
              <w:t xml:space="preserve">$1.8B</w:t>
            </w:r>
          </w:p>
        </w:tc>
        <w:tc>
          <w:tcPr/>
          <w:p>
            <w:pPr>
              <w:pStyle w:val="Compact"/>
              <w:jc w:val="right"/>
            </w:pPr>
            <w:r>
              <w:t xml:space="preserve">FY2025: $1.6B</w:t>
            </w:r>
          </w:p>
        </w:tc>
        <w:tc>
          <w:tcPr/>
          <w:p>
            <w:pPr>
              <w:pStyle w:val="Compact"/>
            </w:pPr>
            <w:r>
              <w:t xml:space="preserve">Reaffirmation or increase</w:t>
            </w:r>
          </w:p>
        </w:tc>
      </w:tr>
    </w:tbl>
    <w:p>
      <w:pPr>
        <w:pStyle w:val="BodyText"/>
      </w:pPr>
      <w:r>
        <w:t xml:space="preserve">Company guidance calls for revenue of $1.285 billion to $1.305 billion, low-double-digit Applications and Commerce growth, low-single-digit Core growth and a normalized EBITDA margin of approximately 33%. (</w:t>
      </w:r>
      <w:hyperlink r:id="rId11">
        <w:r>
          <w:rPr>
            <w:rStyle w:val="Hyperlink"/>
          </w:rPr>
          <w:t xml:space="preserve">sec.gov</w:t>
        </w:r>
      </w:hyperlink>
      <w:r>
        <w:t xml:space="preserve">) Street EPS estimates vary by provider, with current figures around $1.69 to $1.72. (</w:t>
      </w:r>
      <w:hyperlink r:id="rId12">
        <w:r>
          <w:rPr>
            <w:rStyle w:val="Hyperlink"/>
          </w:rPr>
          <w:t xml:space="preserve">barchart.com</w:t>
        </w:r>
      </w:hyperlink>
      <w:r>
        <w:t xml:space="preserve">)</w:t>
      </w:r>
    </w:p>
    <w:p>
      <w:pPr>
        <w:pStyle w:val="BodyText"/>
      </w:pPr>
      <w:r>
        <w:t xml:space="preserve">For comparison, Q2 2025 produced $1.218 billion of revenue, $1.345 billion of bookings, $381.7 million of normalized EBITDA and $391.5 million of free cash flow. (</w:t>
      </w:r>
      <w:hyperlink r:id="rId13">
        <w:r>
          <w:rPr>
            <w:rStyle w:val="Hyperlink"/>
          </w:rPr>
          <w:t xml:space="preserve">sec.gov</w:t>
        </w:r>
      </w:hyperlink>
      <w:r>
        <w:t xml:space="preserve">)</w:t>
      </w:r>
    </w:p>
    <w:p>
      <w:r>
        <w:pict>
          <v:rect style="width:0;height:1.5pt" o:hralign="center" o:hrstd="t" o:hr="t"/>
        </w:pict>
      </w:r>
    </w:p>
    <w:bookmarkEnd w:id="14"/>
    <w:bookmarkStart w:id="16" w:name="X40337f0a0d29c106f5c2cd8642493d442f0e8d6"/>
    <w:p>
      <w:pPr>
        <w:pStyle w:val="Heading2"/>
      </w:pPr>
      <w:r>
        <w:t xml:space="preserve">1. Bookings are the quarter’s most important financial metric</w:t>
      </w:r>
    </w:p>
    <w:p>
      <w:pPr>
        <w:pStyle w:val="FirstParagraph"/>
      </w:pPr>
      <w:r>
        <w:t xml:space="preserve">Q1 revenue grew 6%, but bookings grew only 3%. Management attributed the gap to:</w:t>
      </w:r>
    </w:p>
    <w:p>
      <w:pPr>
        <w:pStyle w:val="Compact"/>
        <w:numPr>
          <w:ilvl w:val="0"/>
          <w:numId w:val="1001"/>
        </w:numPr>
      </w:pPr>
      <w:r>
        <w:t xml:space="preserve">The customer-acquisition promotional offer and related product allocation;</w:t>
      </w:r>
    </w:p>
    <w:p>
      <w:pPr>
        <w:pStyle w:val="Compact"/>
        <w:numPr>
          <w:ilvl w:val="0"/>
          <w:numId w:val="1001"/>
        </w:numPr>
      </w:pPr>
      <w:r>
        <w:t xml:space="preserve">Expiration of the</w:t>
      </w:r>
      <w:r>
        <w:t xml:space="preserve"> </w:t>
      </w:r>
      <w:r>
        <w:rPr>
          <w:rStyle w:val="VerbatimChar"/>
        </w:rPr>
        <w:t xml:space="preserve">.CO</w:t>
      </w:r>
      <w:r>
        <w:t xml:space="preserve"> </w:t>
      </w:r>
      <w:r>
        <w:t xml:space="preserve">registry contract;</w:t>
      </w:r>
    </w:p>
    <w:p>
      <w:pPr>
        <w:pStyle w:val="Compact"/>
        <w:numPr>
          <w:ilvl w:val="0"/>
          <w:numId w:val="1001"/>
        </w:numPr>
      </w:pPr>
      <w:r>
        <w:t xml:space="preserve">Tough domain-aftermarket comparisons; and</w:t>
      </w:r>
    </w:p>
    <w:p>
      <w:pPr>
        <w:pStyle w:val="Compact"/>
        <w:numPr>
          <w:ilvl w:val="0"/>
          <w:numId w:val="1001"/>
        </w:numPr>
      </w:pPr>
      <w:r>
        <w:t xml:space="preserve">The deliberate retirement of lower-value products.</w:t>
      </w:r>
    </w:p>
    <w:p>
      <w:pPr>
        <w:pStyle w:val="FirstParagraph"/>
      </w:pPr>
      <w:r>
        <w:t xml:space="preserve">Management characterized Q1 as the</w:t>
      </w:r>
      <w:r>
        <w:t xml:space="preserve"> </w:t>
      </w:r>
      <w:r>
        <w:rPr>
          <w:b/>
          <w:bCs/>
        </w:rPr>
        <w:t xml:space="preserve">peak impact</w:t>
      </w:r>
      <w:r>
        <w:t xml:space="preserve"> </w:t>
      </w:r>
      <w:r>
        <w:t xml:space="preserve">of these factors and said bookings growth should be at or above revenue growth for the remaining nine months of 2026.</w:t>
      </w:r>
    </w:p>
    <w:p>
      <w:pPr>
        <w:pStyle w:val="BodyText"/>
      </w:pPr>
      <w:r>
        <w:t xml:space="preserve">That effectively establishes a Q2 hurdle of approximately</w:t>
      </w:r>
      <w:r>
        <w:t xml:space="preserve"> </w:t>
      </w:r>
      <w:r>
        <w:rPr>
          <w:b/>
          <w:bCs/>
        </w:rPr>
        <w:t xml:space="preserve">6% bookings growth</w:t>
      </w:r>
      <w:r>
        <w:t xml:space="preserve">, equivalent to roughly</w:t>
      </w:r>
      <w:r>
        <w:t xml:space="preserve"> </w:t>
      </w:r>
      <w:r>
        <w:rPr>
          <w:b/>
          <w:bCs/>
        </w:rPr>
        <w:t xml:space="preserve">$1.43 billion</w:t>
      </w:r>
      <w:r>
        <w:t xml:space="preserve"> </w:t>
      </w:r>
      <w:r>
        <w:t xml:space="preserve">against last year’s $1.345 billion. A result materially below that level would weaken the argument that Q1 was merely a temporary distortion.</w:t>
      </w:r>
    </w:p>
    <w:bookmarkStart w:id="15" w:name="how-to-read-the-result"/>
    <w:p>
      <w:pPr>
        <w:pStyle w:val="Heading3"/>
      </w:pPr>
      <w:r>
        <w:t xml:space="preserve">How to read the result</w:t>
      </w:r>
    </w:p>
    <w:p>
      <w:pPr>
        <w:pStyle w:val="Compact"/>
        <w:numPr>
          <w:ilvl w:val="0"/>
          <w:numId w:val="1002"/>
        </w:numPr>
      </w:pPr>
      <w:r>
        <w:rPr>
          <w:b/>
          <w:bCs/>
        </w:rPr>
        <w:t xml:space="preserve">7%+ bookings growth:</w:t>
      </w:r>
      <w:r>
        <w:t xml:space="preserve"> </w:t>
      </w:r>
      <w:r>
        <w:t xml:space="preserve">Clear reacceleration and supportive of better revenue visibility.</w:t>
      </w:r>
    </w:p>
    <w:p>
      <w:pPr>
        <w:pStyle w:val="Compact"/>
        <w:numPr>
          <w:ilvl w:val="0"/>
          <w:numId w:val="1002"/>
        </w:numPr>
      </w:pPr>
      <w:r>
        <w:rPr>
          <w:b/>
          <w:bCs/>
        </w:rPr>
        <w:t xml:space="preserve">Around 6%:</w:t>
      </w:r>
      <w:r>
        <w:t xml:space="preserve"> </w:t>
      </w:r>
      <w:r>
        <w:t xml:space="preserve">Meets management’s stated framework.</w:t>
      </w:r>
    </w:p>
    <w:p>
      <w:pPr>
        <w:pStyle w:val="Compact"/>
        <w:numPr>
          <w:ilvl w:val="0"/>
          <w:numId w:val="1002"/>
        </w:numPr>
      </w:pPr>
      <w:r>
        <w:rPr>
          <w:b/>
          <w:bCs/>
        </w:rPr>
        <w:t xml:space="preserve">4%–5%:</w:t>
      </w:r>
      <w:r>
        <w:t xml:space="preserve"> </w:t>
      </w:r>
      <w:r>
        <w:t xml:space="preserve">Headline revenue may still look fine, but forward momentum would be questionable.</w:t>
      </w:r>
    </w:p>
    <w:p>
      <w:pPr>
        <w:pStyle w:val="Compact"/>
        <w:numPr>
          <w:ilvl w:val="0"/>
          <w:numId w:val="1002"/>
        </w:numPr>
      </w:pPr>
      <w:r>
        <w:rPr>
          <w:b/>
          <w:bCs/>
        </w:rPr>
        <w:t xml:space="preserve">Below 4%:</w:t>
      </w:r>
      <w:r>
        <w:t xml:space="preserve"> </w:t>
      </w:r>
      <w:r>
        <w:t xml:space="preserve">Suggests promotions, product transitions or underlying demand are causing more persistent pressure.</w:t>
      </w:r>
    </w:p>
    <w:p>
      <w:pPr>
        <w:pStyle w:val="FirstParagraph"/>
      </w:pPr>
      <w:r>
        <w:t xml:space="preserve">Because much of GoDaddy’s revenue is recognized over subscription terms, bookings can reveal changes in demand before they become obvious in reported revenue.</w:t>
      </w:r>
    </w:p>
    <w:p>
      <w:r>
        <w:pict>
          <v:rect style="width:0;height:1.5pt" o:hralign="center" o:hrstd="t" o:hr="t"/>
        </w:pict>
      </w:r>
    </w:p>
    <w:bookmarkEnd w:id="15"/>
    <w:bookmarkEnd w:id="16"/>
    <w:bookmarkStart w:id="18" w:name="Xa80dff720151c691b16764e98257cfe790e2dcd"/>
    <w:p>
      <w:pPr>
        <w:pStyle w:val="Heading2"/>
      </w:pPr>
      <w:r>
        <w:t xml:space="preserve">2. Airo AI Builder needs a meaningful progress update</w:t>
      </w:r>
    </w:p>
    <w:p>
      <w:pPr>
        <w:pStyle w:val="FirstParagraph"/>
      </w:pPr>
      <w:r>
        <w:t xml:space="preserve">At the end of Q1, Airo AI Builder had exceeded</w:t>
      </w:r>
      <w:r>
        <w:t xml:space="preserve"> </w:t>
      </w:r>
      <w:r>
        <w:rPr>
          <w:b/>
          <w:bCs/>
        </w:rPr>
        <w:t xml:space="preserve">$10 million in annualized bookings</w:t>
      </w:r>
      <w:r>
        <w:t xml:space="preserve"> </w:t>
      </w:r>
      <w:r>
        <w:t xml:space="preserve">within weeks of beta launch. That figure included subscriptions and credit purchases but excluded subsequent cross-selling of other GoDaddy products.</w:t>
      </w:r>
    </w:p>
    <w:p>
      <w:pPr>
        <w:pStyle w:val="BodyText"/>
      </w:pPr>
      <w:r>
        <w:t xml:space="preserve">The early result was notable because:</w:t>
      </w:r>
    </w:p>
    <w:p>
      <w:pPr>
        <w:pStyle w:val="Compact"/>
        <w:numPr>
          <w:ilvl w:val="0"/>
          <w:numId w:val="1003"/>
        </w:numPr>
      </w:pPr>
      <w:r>
        <w:t xml:space="preserve">Only a small amount of GoDaddy.com traffic had been directed to the product;</w:t>
      </w:r>
    </w:p>
    <w:p>
      <w:pPr>
        <w:pStyle w:val="Compact"/>
        <w:numPr>
          <w:ilvl w:val="0"/>
          <w:numId w:val="1003"/>
        </w:numPr>
      </w:pPr>
      <w:r>
        <w:t xml:space="preserve">Distribution through customer care had only recently started;</w:t>
      </w:r>
    </w:p>
    <w:p>
      <w:pPr>
        <w:pStyle w:val="Compact"/>
        <w:numPr>
          <w:ilvl w:val="0"/>
          <w:numId w:val="1003"/>
        </w:numPr>
      </w:pPr>
      <w:r>
        <w:t xml:space="preserve">Targeted paid marketing was scheduled to begin in May; and</w:t>
      </w:r>
    </w:p>
    <w:p>
      <w:pPr>
        <w:pStyle w:val="Compact"/>
        <w:numPr>
          <w:ilvl w:val="0"/>
          <w:numId w:val="1003"/>
        </w:numPr>
      </w:pPr>
      <w:r>
        <w:t xml:space="preserve">GoDaddy had not yet fully inserted the product into its largest domain and website funnels.</w:t>
      </w:r>
    </w:p>
    <w:p>
      <w:pPr>
        <w:pStyle w:val="FirstParagraph"/>
      </w:pPr>
      <w:r>
        <w:t xml:space="preserve">Three months later, investors should expect more than another qualitative statement about “strong adoption.”</w:t>
      </w:r>
    </w:p>
    <w:bookmarkStart w:id="17" w:name="questions-management-should-answer"/>
    <w:p>
      <w:pPr>
        <w:pStyle w:val="Heading3"/>
      </w:pPr>
      <w:r>
        <w:t xml:space="preserve">Questions management should answer</w:t>
      </w:r>
    </w:p>
    <w:p>
      <w:pPr>
        <w:numPr>
          <w:ilvl w:val="0"/>
          <w:numId w:val="1004"/>
        </w:numPr>
      </w:pPr>
      <w:r>
        <w:rPr>
          <w:b/>
          <w:bCs/>
        </w:rPr>
        <w:t xml:space="preserve">What is the current annualized bookings run rate?</w:t>
      </w:r>
      <w:r>
        <w:br/>
      </w:r>
      <w:r>
        <w:t xml:space="preserve">A substantial increase from $10 million would validate demand as distribution expands.</w:t>
      </w:r>
    </w:p>
    <w:p>
      <w:pPr>
        <w:numPr>
          <w:ilvl w:val="0"/>
          <w:numId w:val="1004"/>
        </w:numPr>
      </w:pPr>
      <w:r>
        <w:rPr>
          <w:b/>
          <w:bCs/>
        </w:rPr>
        <w:t xml:space="preserve">How much growth came from paid marketing versus organic traffic?</w:t>
      </w:r>
      <w:r>
        <w:br/>
      </w:r>
      <w:r>
        <w:t xml:space="preserve">This is crucial for assessing customer-acquisition economics.</w:t>
      </w:r>
    </w:p>
    <w:p>
      <w:pPr>
        <w:numPr>
          <w:ilvl w:val="0"/>
          <w:numId w:val="1004"/>
        </w:numPr>
      </w:pPr>
      <w:r>
        <w:rPr>
          <w:b/>
          <w:bCs/>
        </w:rPr>
        <w:t xml:space="preserve">Are customers repeatedly purchasing credits?</w:t>
      </w:r>
      <w:r>
        <w:br/>
      </w:r>
      <w:r>
        <w:t xml:space="preserve">Repeat usage would support a consumption-based revenue opportunity beyond initial subscriptions.</w:t>
      </w:r>
    </w:p>
    <w:p>
      <w:pPr>
        <w:numPr>
          <w:ilvl w:val="0"/>
          <w:numId w:val="1004"/>
        </w:numPr>
      </w:pPr>
      <w:r>
        <w:rPr>
          <w:b/>
          <w:bCs/>
        </w:rPr>
        <w:t xml:space="preserve">Is AI Builder creating incremental demand or replacing Websites + Marketing purchases?</w:t>
      </w:r>
      <w:r>
        <w:br/>
      </w:r>
      <w:r>
        <w:t xml:space="preserve">Cannibalization is not necessarily negative, but it changes the net growth and margin implications.</w:t>
      </w:r>
    </w:p>
    <w:p>
      <w:pPr>
        <w:numPr>
          <w:ilvl w:val="0"/>
          <w:numId w:val="1004"/>
        </w:numPr>
      </w:pPr>
      <w:r>
        <w:rPr>
          <w:b/>
          <w:bCs/>
        </w:rPr>
        <w:t xml:space="preserve">What are the gross-margin characteristics?</w:t>
      </w:r>
      <w:r>
        <w:br/>
      </w:r>
      <w:r>
        <w:t xml:space="preserve">Management has said the product is gross-margin positive, but inference about normalized margins is still difficult without information on compute costs and credit usage.</w:t>
      </w:r>
    </w:p>
    <w:p>
      <w:pPr>
        <w:numPr>
          <w:ilvl w:val="0"/>
          <w:numId w:val="1004"/>
        </w:numPr>
      </w:pPr>
      <w:r>
        <w:rPr>
          <w:b/>
          <w:bCs/>
        </w:rPr>
        <w:t xml:space="preserve">Is Airo improving attach and retention?</w:t>
      </w:r>
      <w:r>
        <w:br/>
      </w:r>
      <w:r>
        <w:t xml:space="preserve">Q1’s newer Airo cohorts attached a second product 30% faster than non-Airo cohorts. Further cohort evidence would be more valuable than raw user counts.</w:t>
      </w:r>
    </w:p>
    <w:p>
      <w:pPr>
        <w:pStyle w:val="FirstParagraph"/>
      </w:pPr>
      <w:r>
        <w:t xml:space="preserve">A credible update would include at least one new quantitative marker—bookings run rate, paid conversion, published-site activity, credit repurchase or cross-sell behavior.</w:t>
      </w:r>
    </w:p>
    <w:p>
      <w:r>
        <w:pict>
          <v:rect style="width:0;height:1.5pt" o:hralign="center" o:hrstd="t" o:hr="t"/>
        </w:pict>
      </w:r>
    </w:p>
    <w:bookmarkEnd w:id="17"/>
    <w:bookmarkEnd w:id="18"/>
    <w:bookmarkStart w:id="20" w:name="Xe2b5e1ba3d9083a88db38127ae1494168f77f58"/>
    <w:p>
      <w:pPr>
        <w:pStyle w:val="Heading2"/>
      </w:pPr>
      <w:r>
        <w:t xml:space="preserve">3. Margin performance must balance efficiency with reinvestment</w:t>
      </w:r>
    </w:p>
    <w:p>
      <w:pPr>
        <w:pStyle w:val="FirstParagraph"/>
      </w:pPr>
      <w:r>
        <w:t xml:space="preserve">Q1 normalized EBITDA increased 13% to $413.5 million, while margin expanded 210 basis points to 32.6%. Free cash flow rose 15% to $473.6 million. GoDaddy nevertheless maintained its plan to increase Airo marketing and compute spending during Q2. (</w:t>
      </w:r>
      <w:hyperlink r:id="rId11">
        <w:r>
          <w:rPr>
            <w:rStyle w:val="Hyperlink"/>
          </w:rPr>
          <w:t xml:space="preserve">sec.gov</w:t>
        </w:r>
      </w:hyperlink>
      <w:r>
        <w:t xml:space="preserve">)</w:t>
      </w:r>
    </w:p>
    <w:p>
      <w:pPr>
        <w:pStyle w:val="BodyText"/>
      </w:pPr>
      <w:r>
        <w:t xml:space="preserve">At the midpoint of revenue guidance, a 33% margin implies approximately</w:t>
      </w:r>
      <w:r>
        <w:t xml:space="preserve"> </w:t>
      </w:r>
      <w:r>
        <w:rPr>
          <w:b/>
          <w:bCs/>
        </w:rPr>
        <w:t xml:space="preserve">$427 million of normalized EBITDA</w:t>
      </w:r>
      <w:r>
        <w:t xml:space="preserve">, up around 12% year over year.</w:t>
      </w:r>
    </w:p>
    <w:bookmarkStart w:id="19" w:name="the-ideal-combination"/>
    <w:p>
      <w:pPr>
        <w:pStyle w:val="Heading3"/>
      </w:pPr>
      <w:r>
        <w:t xml:space="preserve">The ideal combination</w:t>
      </w:r>
    </w:p>
    <w:p>
      <w:pPr>
        <w:pStyle w:val="FirstParagraph"/>
      </w:pPr>
      <w:r>
        <w:t xml:space="preserve">The strongest result would be:</w:t>
      </w:r>
    </w:p>
    <w:p>
      <w:pPr>
        <w:pStyle w:val="Compact"/>
        <w:numPr>
          <w:ilvl w:val="0"/>
          <w:numId w:val="1005"/>
        </w:numPr>
      </w:pPr>
      <w:r>
        <w:t xml:space="preserve">Accelerating bookings;</w:t>
      </w:r>
    </w:p>
    <w:p>
      <w:pPr>
        <w:pStyle w:val="Compact"/>
        <w:numPr>
          <w:ilvl w:val="0"/>
          <w:numId w:val="1005"/>
        </w:numPr>
      </w:pPr>
      <w:r>
        <w:t xml:space="preserve">Continued low-double-digit A&amp;C growth;</w:t>
      </w:r>
    </w:p>
    <w:p>
      <w:pPr>
        <w:pStyle w:val="Compact"/>
        <w:numPr>
          <w:ilvl w:val="0"/>
          <w:numId w:val="1005"/>
        </w:numPr>
      </w:pPr>
      <w:r>
        <w:t xml:space="preserve">A 33% or better margin;</w:t>
      </w:r>
    </w:p>
    <w:p>
      <w:pPr>
        <w:pStyle w:val="Compact"/>
        <w:numPr>
          <w:ilvl w:val="0"/>
          <w:numId w:val="1005"/>
        </w:numPr>
      </w:pPr>
      <w:r>
        <w:t xml:space="preserve">Meaningful Airo investment; and</w:t>
      </w:r>
    </w:p>
    <w:p>
      <w:pPr>
        <w:pStyle w:val="Compact"/>
        <w:numPr>
          <w:ilvl w:val="0"/>
          <w:numId w:val="1005"/>
        </w:numPr>
      </w:pPr>
      <w:r>
        <w:t xml:space="preserve">Reaffirmed or raised free-cash-flow guidance.</w:t>
      </w:r>
    </w:p>
    <w:p>
      <w:pPr>
        <w:pStyle w:val="FirstParagraph"/>
      </w:pPr>
      <w:r>
        <w:t xml:space="preserve">A modest margin miss could be tolerated if it accompanies clearly productive AI investment and stronger bookings. A miss paired with vague Airo metrics would be more concerning because it could indicate rising spending without proven returns.</w:t>
      </w:r>
    </w:p>
    <w:p>
      <w:pPr>
        <w:pStyle w:val="BodyText"/>
      </w:pPr>
      <w:r>
        <w:t xml:space="preserve">Also watch for evidence that AI is improving internal productivity:</w:t>
      </w:r>
    </w:p>
    <w:p>
      <w:pPr>
        <w:pStyle w:val="Compact"/>
        <w:numPr>
          <w:ilvl w:val="0"/>
          <w:numId w:val="1006"/>
        </w:numPr>
      </w:pPr>
      <w:r>
        <w:t xml:space="preserve">Software-development speed;</w:t>
      </w:r>
    </w:p>
    <w:p>
      <w:pPr>
        <w:pStyle w:val="Compact"/>
        <w:numPr>
          <w:ilvl w:val="0"/>
          <w:numId w:val="1006"/>
        </w:numPr>
      </w:pPr>
      <w:r>
        <w:t xml:space="preserve">Customer-care resolution rates;</w:t>
      </w:r>
    </w:p>
    <w:p>
      <w:pPr>
        <w:pStyle w:val="Compact"/>
        <w:numPr>
          <w:ilvl w:val="0"/>
          <w:numId w:val="1006"/>
        </w:numPr>
      </w:pPr>
      <w:r>
        <w:t xml:space="preserve">Automated sales conversion;</w:t>
      </w:r>
    </w:p>
    <w:p>
      <w:pPr>
        <w:pStyle w:val="Compact"/>
        <w:numPr>
          <w:ilvl w:val="0"/>
          <w:numId w:val="1006"/>
        </w:numPr>
      </w:pPr>
      <w:r>
        <w:t xml:space="preserve">Reduced third-party software expense; and</w:t>
      </w:r>
    </w:p>
    <w:p>
      <w:pPr>
        <w:pStyle w:val="Compact"/>
        <w:numPr>
          <w:ilvl w:val="0"/>
          <w:numId w:val="1006"/>
        </w:numPr>
      </w:pPr>
      <w:r>
        <w:t xml:space="preserve">Customer-care costs as a percentage of revenue.</w:t>
      </w:r>
    </w:p>
    <w:p>
      <w:r>
        <w:pict>
          <v:rect style="width:0;height:1.5pt" o:hralign="center" o:hrstd="t" o:hr="t"/>
        </w:pict>
      </w:r>
    </w:p>
    <w:bookmarkEnd w:id="19"/>
    <w:bookmarkEnd w:id="20"/>
    <w:bookmarkStart w:id="21" w:name="Xa941ca5400a7801e624ece35b7fca7eba04fd7b"/>
    <w:p>
      <w:pPr>
        <w:pStyle w:val="Heading2"/>
      </w:pPr>
      <w:r>
        <w:t xml:space="preserve">4. Applications and Commerce remains the core growth engine</w:t>
      </w:r>
    </w:p>
    <w:p>
      <w:pPr>
        <w:pStyle w:val="FirstParagraph"/>
      </w:pPr>
      <w:r>
        <w:t xml:space="preserve">Applications and Commerce generated $498.2 million of Q1 revenue, up 12%, and now represents roughly 40% of GoDaddy’s business. Management expects another low-double-digit increase in Q2.</w:t>
      </w:r>
    </w:p>
    <w:p>
      <w:pPr>
        <w:pStyle w:val="BodyText"/>
      </w:pPr>
      <w:r>
        <w:t xml:space="preserve">Using last year’s</w:t>
      </w:r>
      <w:r>
        <w:t xml:space="preserve"> </w:t>
      </w:r>
      <m:oMath>
        <m:r>
          <m:t>463.9</m:t>
        </m:r>
        <m:r>
          <m:t>m</m:t>
        </m:r>
        <m:r>
          <m:t>i</m:t>
        </m:r>
        <m:r>
          <m:t>l</m:t>
        </m:r>
        <m:r>
          <m:t>l</m:t>
        </m:r>
        <m:r>
          <m:t>i</m:t>
        </m:r>
        <m:r>
          <m:t>o</m:t>
        </m:r>
        <m:r>
          <m:t>n</m:t>
        </m:r>
        <m:r>
          <m:t>b</m:t>
        </m:r>
        <m:r>
          <m:t>a</m:t>
        </m:r>
        <m:r>
          <m:t>s</m:t>
        </m:r>
        <m:r>
          <m:t>e</m:t>
        </m:r>
        <m:r>
          <m:rPr>
            <m:sty m:val="p"/>
          </m:rPr>
          <m:t>,</m:t>
        </m:r>
        <m:r>
          <m:t>10</m:t>
        </m:r>
      </m:oMath>
      <w:r>
        <w:t xml:space="preserve">510 million–$520 million**.</w:t>
      </w:r>
    </w:p>
    <w:p>
      <w:pPr>
        <w:pStyle w:val="BodyText"/>
      </w:pPr>
      <w:r>
        <w:t xml:space="preserve">Important underlying drivers include:</w:t>
      </w:r>
    </w:p>
    <w:p>
      <w:pPr>
        <w:pStyle w:val="Compact"/>
        <w:numPr>
          <w:ilvl w:val="0"/>
          <w:numId w:val="1007"/>
        </w:numPr>
      </w:pPr>
      <w:r>
        <w:t xml:space="preserve">Websites + Marketing upgrades;</w:t>
      </w:r>
    </w:p>
    <w:p>
      <w:pPr>
        <w:pStyle w:val="Compact"/>
        <w:numPr>
          <w:ilvl w:val="0"/>
          <w:numId w:val="1007"/>
        </w:numPr>
      </w:pPr>
      <w:r>
        <w:t xml:space="preserve">Pricing and bundling;</w:t>
      </w:r>
    </w:p>
    <w:p>
      <w:pPr>
        <w:pStyle w:val="Compact"/>
        <w:numPr>
          <w:ilvl w:val="0"/>
          <w:numId w:val="1007"/>
        </w:numPr>
      </w:pPr>
      <w:r>
        <w:t xml:space="preserve">Higher product attach from the domain funnel;</w:t>
      </w:r>
    </w:p>
    <w:p>
      <w:pPr>
        <w:pStyle w:val="Compact"/>
        <w:numPr>
          <w:ilvl w:val="0"/>
          <w:numId w:val="1007"/>
        </w:numPr>
      </w:pPr>
      <w:r>
        <w:t xml:space="preserve">Email and productivity products;</w:t>
      </w:r>
    </w:p>
    <w:p>
      <w:pPr>
        <w:pStyle w:val="Compact"/>
        <w:numPr>
          <w:ilvl w:val="0"/>
          <w:numId w:val="1007"/>
        </w:numPr>
      </w:pPr>
      <w:r>
        <w:t xml:space="preserve">Commerce and payments;</w:t>
      </w:r>
    </w:p>
    <w:p>
      <w:pPr>
        <w:pStyle w:val="Compact"/>
        <w:numPr>
          <w:ilvl w:val="0"/>
          <w:numId w:val="1007"/>
        </w:numPr>
      </w:pPr>
      <w:r>
        <w:t xml:space="preserve">Airo AI Builder; and</w:t>
      </w:r>
    </w:p>
    <w:p>
      <w:pPr>
        <w:pStyle w:val="Compact"/>
        <w:numPr>
          <w:ilvl w:val="0"/>
          <w:numId w:val="1007"/>
        </w:numPr>
      </w:pPr>
      <w:r>
        <w:t xml:space="preserve">Customer retention.</w:t>
      </w:r>
    </w:p>
    <w:p>
      <w:pPr>
        <w:pStyle w:val="FirstParagraph"/>
      </w:pPr>
      <w:r>
        <w:t xml:space="preserve">The mix matters. Subscription and attach-led growth is generally more durable than growth driven primarily by pricing. Investors should listen for whether unit adoption is improving as pricing initiatives around the upgraded Websites + Marketing product remain gated by customer-experience tests.</w:t>
      </w:r>
    </w:p>
    <w:p>
      <w:r>
        <w:pict>
          <v:rect style="width:0;height:1.5pt" o:hralign="center" o:hrstd="t" o:hr="t"/>
        </w:pict>
      </w:r>
    </w:p>
    <w:bookmarkEnd w:id="21"/>
    <w:bookmarkStart w:id="22" w:name="Xabeba907ed97a8dd976bda5536ef044a67e4b58"/>
    <w:p>
      <w:pPr>
        <w:pStyle w:val="Heading2"/>
      </w:pPr>
      <w:r>
        <w:t xml:space="preserve">5. Core Platform needs to demonstrate stability</w:t>
      </w:r>
    </w:p>
    <w:p>
      <w:pPr>
        <w:pStyle w:val="FirstParagraph"/>
      </w:pPr>
      <w:r>
        <w:t xml:space="preserve">Core revenue grew 3% in Q1 to $768.7 million. Primary domains grew 5%, but the segment faced pressure from:</w:t>
      </w:r>
    </w:p>
    <w:p>
      <w:pPr>
        <w:pStyle w:val="Compact"/>
        <w:numPr>
          <w:ilvl w:val="0"/>
          <w:numId w:val="1008"/>
        </w:numPr>
      </w:pPr>
      <w:r>
        <w:t xml:space="preserve">Non-core hosting weakness;</w:t>
      </w:r>
    </w:p>
    <w:p>
      <w:pPr>
        <w:pStyle w:val="Compact"/>
        <w:numPr>
          <w:ilvl w:val="0"/>
          <w:numId w:val="1008"/>
        </w:numPr>
      </w:pPr>
      <w:r>
        <w:t xml:space="preserve">Expiration of the</w:t>
      </w:r>
      <w:r>
        <w:t xml:space="preserve"> </w:t>
      </w:r>
      <w:r>
        <w:rPr>
          <w:rStyle w:val="VerbatimChar"/>
        </w:rPr>
        <w:t xml:space="preserve">.CO</w:t>
      </w:r>
      <w:r>
        <w:t xml:space="preserve"> </w:t>
      </w:r>
      <w:r>
        <w:t xml:space="preserve">registry contract;</w:t>
      </w:r>
    </w:p>
    <w:p>
      <w:pPr>
        <w:pStyle w:val="Compact"/>
        <w:numPr>
          <w:ilvl w:val="0"/>
          <w:numId w:val="1008"/>
        </w:numPr>
      </w:pPr>
      <w:r>
        <w:t xml:space="preserve">Tough aftermarket comparisons; and</w:t>
      </w:r>
    </w:p>
    <w:p>
      <w:pPr>
        <w:pStyle w:val="Compact"/>
        <w:numPr>
          <w:ilvl w:val="0"/>
          <w:numId w:val="1008"/>
        </w:numPr>
      </w:pPr>
      <w:r>
        <w:t xml:space="preserve">The removal of lower-value offerings.</w:t>
      </w:r>
    </w:p>
    <w:p>
      <w:pPr>
        <w:pStyle w:val="FirstParagraph"/>
      </w:pPr>
      <w:r>
        <w:t xml:space="preserve">Low-single-digit Q2 growth implies approximately</w:t>
      </w:r>
      <w:r>
        <w:t xml:space="preserve"> </w:t>
      </w:r>
      <m:oMath>
        <m:r>
          <m:t>769</m:t>
        </m:r>
        <m:r>
          <m:t>m</m:t>
        </m:r>
        <m:r>
          <m:t>i</m:t>
        </m:r>
        <m:r>
          <m:t>l</m:t>
        </m:r>
        <m:r>
          <m:t>l</m:t>
        </m:r>
        <m:r>
          <m:t>i</m:t>
        </m:r>
        <m:r>
          <m:t>o</m:t>
        </m:r>
        <m:r>
          <m:t>n</m:t>
        </m:r>
        <m:r>
          <m:rPr>
            <m:sty m:val="p"/>
          </m:rPr>
          <m:t>–</m:t>
        </m:r>
      </m:oMath>
      <w:r>
        <w:rPr>
          <w:b/>
          <w:bCs/>
        </w:rPr>
        <w:t xml:space="preserve">784 million</w:t>
      </w:r>
      <w:r>
        <w:t xml:space="preserve"> </w:t>
      </w:r>
      <w:r>
        <w:t xml:space="preserve">of Core revenue against last year’s $753.7 million.</w:t>
      </w:r>
    </w:p>
    <w:p>
      <w:pPr>
        <w:pStyle w:val="BodyText"/>
      </w:pPr>
      <w:r>
        <w:t xml:space="preserve">The best outcome is not necessarily rapid Core growth. Rather, investors should look for:</w:t>
      </w:r>
    </w:p>
    <w:p>
      <w:pPr>
        <w:pStyle w:val="Compact"/>
        <w:numPr>
          <w:ilvl w:val="0"/>
          <w:numId w:val="1009"/>
        </w:numPr>
      </w:pPr>
      <w:r>
        <w:t xml:space="preserve">Stable domain registrations and renewals;</w:t>
      </w:r>
    </w:p>
    <w:p>
      <w:pPr>
        <w:pStyle w:val="Compact"/>
        <w:numPr>
          <w:ilvl w:val="0"/>
          <w:numId w:val="1009"/>
        </w:numPr>
      </w:pPr>
      <w:r>
        <w:t xml:space="preserve">Continued migration toward high-intent customers;</w:t>
      </w:r>
    </w:p>
    <w:p>
      <w:pPr>
        <w:pStyle w:val="Compact"/>
        <w:numPr>
          <w:ilvl w:val="0"/>
          <w:numId w:val="1009"/>
        </w:numPr>
      </w:pPr>
      <w:r>
        <w:t xml:space="preserve">Healthy primary-domain growth;</w:t>
      </w:r>
    </w:p>
    <w:p>
      <w:pPr>
        <w:pStyle w:val="Compact"/>
        <w:numPr>
          <w:ilvl w:val="0"/>
          <w:numId w:val="1009"/>
        </w:numPr>
      </w:pPr>
      <w:r>
        <w:t xml:space="preserve">Reduced hosting pressure;</w:t>
      </w:r>
    </w:p>
    <w:p>
      <w:pPr>
        <w:pStyle w:val="Compact"/>
        <w:numPr>
          <w:ilvl w:val="0"/>
          <w:numId w:val="1009"/>
        </w:numPr>
      </w:pPr>
      <w:r>
        <w:t xml:space="preserve">Better bookings as the temporary headwinds fade; and</w:t>
      </w:r>
    </w:p>
    <w:p>
      <w:pPr>
        <w:pStyle w:val="Compact"/>
        <w:numPr>
          <w:ilvl w:val="0"/>
          <w:numId w:val="1009"/>
        </w:numPr>
      </w:pPr>
      <w:r>
        <w:t xml:space="preserve">No deterioration in domain attach rates.</w:t>
      </w:r>
    </w:p>
    <w:p>
      <w:pPr>
        <w:pStyle w:val="FirstParagraph"/>
      </w:pPr>
      <w:r>
        <w:t xml:space="preserve">Core is the acquisition and distribution engine for higher-margin A&amp;C products. Its strategic value is therefore greater than its standalone growth rate suggests.</w:t>
      </w:r>
    </w:p>
    <w:p>
      <w:r>
        <w:pict>
          <v:rect style="width:0;height:1.5pt" o:hralign="center" o:hrstd="t" o:hr="t"/>
        </w:pict>
      </w:r>
    </w:p>
    <w:bookmarkEnd w:id="22"/>
    <w:bookmarkStart w:id="23" w:name="X5e92bec9d33849b3d79ea31b446f1f3149b62fb"/>
    <w:p>
      <w:pPr>
        <w:pStyle w:val="Heading2"/>
      </w:pPr>
      <w:r>
        <w:t xml:space="preserve">6. Customer quality matters more than headline customer count</w:t>
      </w:r>
    </w:p>
    <w:p>
      <w:pPr>
        <w:pStyle w:val="FirstParagraph"/>
      </w:pPr>
      <w:r>
        <w:t xml:space="preserve">GoDaddy finished Q1 with approximately</w:t>
      </w:r>
      <w:r>
        <w:t xml:space="preserve"> </w:t>
      </w:r>
      <w:r>
        <w:rPr>
          <w:b/>
          <w:bCs/>
        </w:rPr>
        <w:t xml:space="preserve">20.4 million customers</w:t>
      </w:r>
      <w:r>
        <w:t xml:space="preserve">, up only 13,000 sequentially. That muted increase reflected both promotional gross additions and the retirement of a lower-value product.</w:t>
      </w:r>
    </w:p>
    <w:p>
      <w:pPr>
        <w:pStyle w:val="BodyText"/>
      </w:pPr>
      <w:r>
        <w:t xml:space="preserve">Management’s operating thesis is that a smaller number of high-intent customers can create more value through better activation, attach and renewal. Supporting indicators in Q1 included:</w:t>
      </w:r>
    </w:p>
    <w:p>
      <w:pPr>
        <w:pStyle w:val="Compact"/>
        <w:numPr>
          <w:ilvl w:val="0"/>
          <w:numId w:val="1010"/>
        </w:numPr>
      </w:pPr>
      <w:r>
        <w:t xml:space="preserve">ARPU up 9% to $246;</w:t>
      </w:r>
    </w:p>
    <w:p>
      <w:pPr>
        <w:pStyle w:val="Compact"/>
        <w:numPr>
          <w:ilvl w:val="0"/>
          <w:numId w:val="1010"/>
        </w:numPr>
      </w:pPr>
      <w:r>
        <w:t xml:space="preserve">Retention above 85%;</w:t>
      </w:r>
    </w:p>
    <w:p>
      <w:pPr>
        <w:pStyle w:val="Compact"/>
        <w:numPr>
          <w:ilvl w:val="0"/>
          <w:numId w:val="1010"/>
        </w:numPr>
      </w:pPr>
      <w:r>
        <w:t xml:space="preserve">Faster second-product attach among Airo cohorts; and</w:t>
      </w:r>
    </w:p>
    <w:p>
      <w:pPr>
        <w:pStyle w:val="Compact"/>
        <w:numPr>
          <w:ilvl w:val="0"/>
          <w:numId w:val="1010"/>
        </w:numPr>
      </w:pPr>
      <w:r>
        <w:t xml:space="preserve">Approximately 10% of customers spending more than $500 annually.</w:t>
      </w:r>
    </w:p>
    <w:p>
      <w:pPr>
        <w:pStyle w:val="FirstParagraph"/>
      </w:pPr>
      <w:r>
        <w:t xml:space="preserve">Accordingly, a flat customer count is not automatically negative. It becomes a concern if it coincides with slowing bookings, weaker attach or declining renewal behavior.</w:t>
      </w:r>
    </w:p>
    <w:p>
      <w:pPr>
        <w:pStyle w:val="BodyText"/>
      </w:pPr>
      <w:r>
        <w:t xml:space="preserve">A high-quality Q2 customer update would show:</w:t>
      </w:r>
    </w:p>
    <w:p>
      <w:pPr>
        <w:pStyle w:val="Compact"/>
        <w:numPr>
          <w:ilvl w:val="0"/>
          <w:numId w:val="1011"/>
        </w:numPr>
      </w:pPr>
      <w:r>
        <w:t xml:space="preserve">Positive net additions after product retirements;</w:t>
      </w:r>
    </w:p>
    <w:p>
      <w:pPr>
        <w:pStyle w:val="Compact"/>
        <w:numPr>
          <w:ilvl w:val="0"/>
          <w:numId w:val="1011"/>
        </w:numPr>
      </w:pPr>
      <w:r>
        <w:t xml:space="preserve">Continued ARPU growth;</w:t>
      </w:r>
    </w:p>
    <w:p>
      <w:pPr>
        <w:pStyle w:val="Compact"/>
        <w:numPr>
          <w:ilvl w:val="0"/>
          <w:numId w:val="1011"/>
        </w:numPr>
      </w:pPr>
      <w:r>
        <w:t xml:space="preserve">Strong activation among promotional cohorts;</w:t>
      </w:r>
    </w:p>
    <w:p>
      <w:pPr>
        <w:pStyle w:val="Compact"/>
        <w:numPr>
          <w:ilvl w:val="0"/>
          <w:numId w:val="1011"/>
        </w:numPr>
      </w:pPr>
      <w:r>
        <w:t xml:space="preserve">Stable or improving renewal rates; and</w:t>
      </w:r>
    </w:p>
    <w:p>
      <w:pPr>
        <w:pStyle w:val="Compact"/>
        <w:numPr>
          <w:ilvl w:val="0"/>
          <w:numId w:val="1011"/>
        </w:numPr>
      </w:pPr>
      <w:r>
        <w:t xml:space="preserve">Evidence that Airo is expanding lifetime value.</w:t>
      </w:r>
    </w:p>
    <w:p>
      <w:r>
        <w:pict>
          <v:rect style="width:0;height:1.5pt" o:hralign="center" o:hrstd="t" o:hr="t"/>
        </w:pict>
      </w:r>
    </w:p>
    <w:bookmarkEnd w:id="23"/>
    <w:bookmarkStart w:id="25" w:name="X10d927ba795643bee33d7f8b03d252f76aa60c1"/>
    <w:p>
      <w:pPr>
        <w:pStyle w:val="Heading2"/>
      </w:pPr>
      <w:r>
        <w:t xml:space="preserve">7. Full-year guidance will probably drive the stock reaction</w:t>
      </w:r>
    </w:p>
    <w:p>
      <w:pPr>
        <w:pStyle w:val="FirstParagraph"/>
      </w:pPr>
      <w:r>
        <w:t xml:space="preserve">Current FY2026 guidance is:</w:t>
      </w:r>
    </w:p>
    <w:p>
      <w:pPr>
        <w:pStyle w:val="Compact"/>
        <w:numPr>
          <w:ilvl w:val="0"/>
          <w:numId w:val="1012"/>
        </w:numPr>
      </w:pPr>
      <w:r>
        <w:t xml:space="preserve">Revenue of</w:t>
      </w:r>
      <w:r>
        <w:t xml:space="preserve"> </w:t>
      </w:r>
      <m:oMath>
        <m:r>
          <m:t>5.195</m:t>
        </m:r>
        <m:r>
          <m:t>b</m:t>
        </m:r>
        <m:r>
          <m:t>i</m:t>
        </m:r>
        <m:r>
          <m:t>l</m:t>
        </m:r>
        <m:r>
          <m:t>l</m:t>
        </m:r>
        <m:r>
          <m:t>i</m:t>
        </m:r>
        <m:r>
          <m:t>o</m:t>
        </m:r>
        <m:r>
          <m:t>n</m:t>
        </m:r>
        <m:r>
          <m:rPr>
            <m:sty m:val="p"/>
          </m:rPr>
          <m:t>–</m:t>
        </m:r>
      </m:oMath>
      <w:r>
        <w:rPr>
          <w:b/>
          <w:bCs/>
        </w:rPr>
        <w:t xml:space="preserve">5.275 billion</w:t>
      </w:r>
      <w:r>
        <w:t xml:space="preserve">, about 6% growth at the midpoint;</w:t>
      </w:r>
    </w:p>
    <w:p>
      <w:pPr>
        <w:pStyle w:val="Compact"/>
        <w:numPr>
          <w:ilvl w:val="0"/>
          <w:numId w:val="1012"/>
        </w:numPr>
      </w:pPr>
      <w:r>
        <w:t xml:space="preserve">A&amp;C growth in the low double digits;</w:t>
      </w:r>
    </w:p>
    <w:p>
      <w:pPr>
        <w:pStyle w:val="Compact"/>
        <w:numPr>
          <w:ilvl w:val="0"/>
          <w:numId w:val="1012"/>
        </w:numPr>
      </w:pPr>
      <w:r>
        <w:t xml:space="preserve">Core growth in the low single digits;</w:t>
      </w:r>
    </w:p>
    <w:p>
      <w:pPr>
        <w:pStyle w:val="Compact"/>
        <w:numPr>
          <w:ilvl w:val="0"/>
          <w:numId w:val="1012"/>
        </w:numPr>
      </w:pPr>
      <w:r>
        <w:t xml:space="preserve">Normalized EBITDA margin above 33%; and</w:t>
      </w:r>
    </w:p>
    <w:p>
      <w:pPr>
        <w:pStyle w:val="Compact"/>
        <w:numPr>
          <w:ilvl w:val="0"/>
          <w:numId w:val="1012"/>
        </w:numPr>
      </w:pPr>
      <w:r>
        <w:t xml:space="preserve">Free cash flow of approximately</w:t>
      </w:r>
      <w:r>
        <w:t xml:space="preserve"> </w:t>
      </w:r>
      <w:r>
        <w:rPr>
          <w:b/>
          <w:bCs/>
        </w:rPr>
        <w:t xml:space="preserve">$1.8 billion</w:t>
      </w:r>
      <w:r>
        <w:t xml:space="preserve">. (</w:t>
      </w:r>
      <w:hyperlink r:id="rId11">
        <w:r>
          <w:rPr>
            <w:rStyle w:val="Hyperlink"/>
          </w:rPr>
          <w:t xml:space="preserve">sec.gov</w:t>
        </w:r>
      </w:hyperlink>
      <w:r>
        <w:t xml:space="preserve">)</w:t>
      </w:r>
    </w:p>
    <w:p>
      <w:pPr>
        <w:pStyle w:val="FirstParagraph"/>
      </w:pPr>
      <w:r>
        <w:t xml:space="preserve">The stock is more likely to respond to the implied second-half trajectory than to a small Q2 EPS beat.</w:t>
      </w:r>
    </w:p>
    <w:bookmarkStart w:id="24" w:name="guidance-interpretations"/>
    <w:p>
      <w:pPr>
        <w:pStyle w:val="Heading3"/>
      </w:pPr>
      <w:r>
        <w:t xml:space="preserve">Guidance interpretations</w:t>
      </w:r>
    </w:p>
    <w:p>
      <w:pPr>
        <w:pStyle w:val="FirstParagraph"/>
      </w:pPr>
      <w:r>
        <w:rPr>
          <w:b/>
          <w:bCs/>
        </w:rPr>
        <w:t xml:space="preserve">Positive</w:t>
      </w:r>
    </w:p>
    <w:p>
      <w:pPr>
        <w:pStyle w:val="Compact"/>
        <w:numPr>
          <w:ilvl w:val="0"/>
          <w:numId w:val="1013"/>
        </w:numPr>
      </w:pPr>
      <w:r>
        <w:t xml:space="preserve">Revenue guidance raised;</w:t>
      </w:r>
    </w:p>
    <w:p>
      <w:pPr>
        <w:pStyle w:val="Compact"/>
        <w:numPr>
          <w:ilvl w:val="0"/>
          <w:numId w:val="1013"/>
        </w:numPr>
      </w:pPr>
      <w:r>
        <w:t xml:space="preserve">FCF target increased;</w:t>
      </w:r>
    </w:p>
    <w:p>
      <w:pPr>
        <w:pStyle w:val="Compact"/>
        <w:numPr>
          <w:ilvl w:val="0"/>
          <w:numId w:val="1013"/>
        </w:numPr>
      </w:pPr>
      <w:r>
        <w:t xml:space="preserve">Bookings expected to grow faster than revenue;</w:t>
      </w:r>
    </w:p>
    <w:p>
      <w:pPr>
        <w:pStyle w:val="Compact"/>
        <w:numPr>
          <w:ilvl w:val="0"/>
          <w:numId w:val="1013"/>
        </w:numPr>
      </w:pPr>
      <w:r>
        <w:t xml:space="preserve">Greater confidence in Airo contribution;</w:t>
      </w:r>
    </w:p>
    <w:p>
      <w:pPr>
        <w:pStyle w:val="Compact"/>
        <w:numPr>
          <w:ilvl w:val="0"/>
          <w:numId w:val="1013"/>
        </w:numPr>
      </w:pPr>
      <w:r>
        <w:t xml:space="preserve">Margin guidance maintained despite increased investment.</w:t>
      </w:r>
    </w:p>
    <w:p>
      <w:pPr>
        <w:pStyle w:val="FirstParagraph"/>
      </w:pPr>
      <w:r>
        <w:rPr>
          <w:b/>
          <w:bCs/>
        </w:rPr>
        <w:t xml:space="preserve">Neutral</w:t>
      </w:r>
    </w:p>
    <w:p>
      <w:pPr>
        <w:pStyle w:val="Compact"/>
        <w:numPr>
          <w:ilvl w:val="0"/>
          <w:numId w:val="1014"/>
        </w:numPr>
      </w:pPr>
      <w:r>
        <w:t xml:space="preserve">All targets reaffirmed;</w:t>
      </w:r>
    </w:p>
    <w:p>
      <w:pPr>
        <w:pStyle w:val="Compact"/>
        <w:numPr>
          <w:ilvl w:val="0"/>
          <w:numId w:val="1014"/>
        </w:numPr>
      </w:pPr>
      <w:r>
        <w:t xml:space="preserve">Q2 bookings meet the approximately 6% hurdle;</w:t>
      </w:r>
    </w:p>
    <w:p>
      <w:pPr>
        <w:pStyle w:val="Compact"/>
        <w:numPr>
          <w:ilvl w:val="0"/>
          <w:numId w:val="1014"/>
        </w:numPr>
      </w:pPr>
      <w:r>
        <w:t xml:space="preserve">Airo progressing, but still immaterial to full-year results.</w:t>
      </w:r>
    </w:p>
    <w:p>
      <w:pPr>
        <w:pStyle w:val="FirstParagraph"/>
      </w:pPr>
      <w:r>
        <w:rPr>
          <w:b/>
          <w:bCs/>
        </w:rPr>
        <w:t xml:space="preserve">Negative</w:t>
      </w:r>
    </w:p>
    <w:p>
      <w:pPr>
        <w:pStyle w:val="Compact"/>
        <w:numPr>
          <w:ilvl w:val="0"/>
          <w:numId w:val="1015"/>
        </w:numPr>
      </w:pPr>
      <w:r>
        <w:t xml:space="preserve">Revenue maintained but bookings outlook softens;</w:t>
      </w:r>
    </w:p>
    <w:p>
      <w:pPr>
        <w:pStyle w:val="Compact"/>
        <w:numPr>
          <w:ilvl w:val="0"/>
          <w:numId w:val="1015"/>
        </w:numPr>
      </w:pPr>
      <w:r>
        <w:t xml:space="preserve">FCF or margin guidance reduced;</w:t>
      </w:r>
    </w:p>
    <w:p>
      <w:pPr>
        <w:pStyle w:val="Compact"/>
        <w:numPr>
          <w:ilvl w:val="0"/>
          <w:numId w:val="1015"/>
        </w:numPr>
      </w:pPr>
      <w:r>
        <w:t xml:space="preserve">AI marketing spending increases without stronger adoption;</w:t>
      </w:r>
    </w:p>
    <w:p>
      <w:pPr>
        <w:pStyle w:val="Compact"/>
        <w:numPr>
          <w:ilvl w:val="0"/>
          <w:numId w:val="1015"/>
        </w:numPr>
      </w:pPr>
      <w:r>
        <w:t xml:space="preserve">Core deteriorates beyond known</w:t>
      </w:r>
      <w:r>
        <w:t xml:space="preserve"> </w:t>
      </w:r>
      <w:r>
        <w:rPr>
          <w:rStyle w:val="VerbatimChar"/>
        </w:rPr>
        <w:t xml:space="preserve">.CO</w:t>
      </w:r>
      <w:r>
        <w:t xml:space="preserve"> </w:t>
      </w:r>
      <w:r>
        <w:t xml:space="preserve">and aftermarket effects.</w:t>
      </w:r>
    </w:p>
    <w:p>
      <w:r>
        <w:pict>
          <v:rect style="width:0;height:1.5pt" o:hralign="center" o:hrstd="t" o:hr="t"/>
        </w:pict>
      </w:r>
    </w:p>
    <w:bookmarkEnd w:id="24"/>
    <w:bookmarkEnd w:id="25"/>
    <w:bookmarkStart w:id="27" w:name="capital-allocation-and-valuation"/>
    <w:p>
      <w:pPr>
        <w:pStyle w:val="Heading2"/>
      </w:pPr>
      <w:r>
        <w:t xml:space="preserve">Capital allocation and valuation</w:t>
      </w:r>
    </w:p>
    <w:p>
      <w:pPr>
        <w:pStyle w:val="FirstParagraph"/>
      </w:pPr>
      <w:r>
        <w:t xml:space="preserve">Using the July 29 closing price of</w:t>
      </w:r>
      <w:r>
        <w:t xml:space="preserve"> </w:t>
      </w:r>
      <m:oMath>
        <m:r>
          <m:t>105.44</m:t>
        </m:r>
        <m:r>
          <m:t>a</m:t>
        </m:r>
        <m:r>
          <m:t>n</m:t>
        </m:r>
        <m:r>
          <m:t>d</m:t>
        </m:r>
        <m:r>
          <m:t>Q</m:t>
        </m:r>
        <m:r>
          <m:t>1</m:t>
        </m:r>
        <m:r>
          <m:rPr>
            <m:sty m:val="p"/>
          </m:rPr>
          <m:t>’</m:t>
        </m:r>
        <m:r>
          <m:t>s</m:t>
        </m:r>
        <m:r>
          <m:t>a</m:t>
        </m:r>
        <m:r>
          <m:t>p</m:t>
        </m:r>
        <m:r>
          <m:t>p</m:t>
        </m:r>
        <m:r>
          <m:t>r</m:t>
        </m:r>
        <m:r>
          <m:t>o</m:t>
        </m:r>
        <m:r>
          <m:t>x</m:t>
        </m:r>
        <m:r>
          <m:t>i</m:t>
        </m:r>
        <m:r>
          <m:t>m</m:t>
        </m:r>
        <m:r>
          <m:t>a</m:t>
        </m:r>
        <m:r>
          <m:t>t</m:t>
        </m:r>
        <m:r>
          <m:t>e</m:t>
        </m:r>
        <m:r>
          <m:t>l</m:t>
        </m:r>
        <m:r>
          <m:t>y</m:t>
        </m:r>
        <m:r>
          <m:t>133.3</m:t>
        </m:r>
        <m:r>
          <m:t>m</m:t>
        </m:r>
        <m:r>
          <m:t>i</m:t>
        </m:r>
        <m:r>
          <m:t>l</m:t>
        </m:r>
        <m:r>
          <m:t>l</m:t>
        </m:r>
        <m:r>
          <m:t>i</m:t>
        </m:r>
        <m:r>
          <m:t>o</m:t>
        </m:r>
        <m:r>
          <m:t>n</m:t>
        </m:r>
        <m:r>
          <m:t>d</m:t>
        </m:r>
        <m:r>
          <m:t>i</m:t>
        </m:r>
        <m:r>
          <m:t>l</m:t>
        </m:r>
        <m:r>
          <m:t>u</m:t>
        </m:r>
        <m:r>
          <m:t>t</m:t>
        </m:r>
        <m:r>
          <m:t>e</m:t>
        </m:r>
        <m:r>
          <m:t>d</m:t>
        </m:r>
        <m:r>
          <m:rPr>
            <m:sty m:val="p"/>
          </m:rPr>
          <m:t>−</m:t>
        </m:r>
        <m:r>
          <m:t>s</m:t>
        </m:r>
        <m:r>
          <m:t>h</m:t>
        </m:r>
        <m:r>
          <m:t>a</m:t>
        </m:r>
        <m:r>
          <m:t>r</m:t>
        </m:r>
        <m:r>
          <m:t>e</m:t>
        </m:r>
        <m:r>
          <m:t>c</m:t>
        </m:r>
        <m:r>
          <m:t>o</m:t>
        </m:r>
        <m:r>
          <m:t>u</m:t>
        </m:r>
        <m:r>
          <m:t>n</m:t>
        </m:r>
        <m:r>
          <m:t>t</m:t>
        </m:r>
        <m:r>
          <m:t>a</m:t>
        </m:r>
        <m:r>
          <m:t>s</m:t>
        </m:r>
        <m:r>
          <m:t>a</m:t>
        </m:r>
        <m:r>
          <m:t>p</m:t>
        </m:r>
        <m:r>
          <m:t>r</m:t>
        </m:r>
        <m:r>
          <m:t>o</m:t>
        </m:r>
        <m:r>
          <m:t>x</m:t>
        </m:r>
        <m:r>
          <m:t>y</m:t>
        </m:r>
        <m:r>
          <m:rPr>
            <m:sty m:val="p"/>
          </m:rPr>
          <m:t>,</m:t>
        </m:r>
        <m:r>
          <m:t>G</m:t>
        </m:r>
        <m:r>
          <m:t>o</m:t>
        </m:r>
        <m:r>
          <m:t>D</m:t>
        </m:r>
        <m:r>
          <m:t>a</m:t>
        </m:r>
        <m:r>
          <m:t>d</m:t>
        </m:r>
        <m:r>
          <m:t>d</m:t>
        </m:r>
        <m:r>
          <m:t>y</m:t>
        </m:r>
        <m:r>
          <m:rPr>
            <m:sty m:val="p"/>
          </m:rPr>
          <m:t>’</m:t>
        </m:r>
        <m:r>
          <m:t>s</m:t>
        </m:r>
        <m:r>
          <m:t>e</m:t>
        </m:r>
        <m:r>
          <m:t>q</m:t>
        </m:r>
        <m:r>
          <m:t>u</m:t>
        </m:r>
        <m:r>
          <m:t>i</m:t>
        </m:r>
        <m:r>
          <m:t>t</m:t>
        </m:r>
        <m:r>
          <m:t>y</m:t>
        </m:r>
        <m:r>
          <m:t>v</m:t>
        </m:r>
        <m:r>
          <m:t>a</m:t>
        </m:r>
        <m:r>
          <m:t>l</m:t>
        </m:r>
        <m:r>
          <m:t>u</m:t>
        </m:r>
        <m:r>
          <m:t>e</m:t>
        </m:r>
        <m:r>
          <m:t>i</m:t>
        </m:r>
        <m:r>
          <m:t>s</m:t>
        </m:r>
        <m:r>
          <m:t>a</m:t>
        </m:r>
        <m:r>
          <m:t>r</m:t>
        </m:r>
        <m:r>
          <m:t>o</m:t>
        </m:r>
        <m:r>
          <m:t>u</m:t>
        </m:r>
        <m:r>
          <m:t>n</m:t>
        </m:r>
        <m:r>
          <m:t>d</m:t>
        </m:r>
        <m:r>
          <m:rPr>
            <m:sty m:val="p"/>
          </m:rPr>
          <m:t>*</m:t>
        </m:r>
        <m:r>
          <m:rPr>
            <m:sty m:val="p"/>
          </m:rPr>
          <m:t>*</m:t>
        </m:r>
      </m:oMath>
      <w:r>
        <w:t xml:space="preserve">14.1 billion**. The $1.8 billion FCF target therefore represents an approximate</w:t>
      </w:r>
      <w:r>
        <w:t xml:space="preserve"> </w:t>
      </w:r>
      <w:r>
        <w:rPr>
          <w:b/>
          <w:bCs/>
        </w:rPr>
        <w:t xml:space="preserve">12.8% free-cash-flow yield</w:t>
      </w:r>
      <w:r>
        <w:t xml:space="preserve">, or about</w:t>
      </w:r>
      <w:r>
        <w:t xml:space="preserve"> </w:t>
      </w:r>
      <w:r>
        <w:rPr>
          <w:b/>
          <w:bCs/>
        </w:rPr>
        <w:t xml:space="preserve">7.8 times FCF</w:t>
      </w:r>
      <w:r>
        <w:t xml:space="preserve">.</w:t>
      </w:r>
    </w:p>
    <w:p>
      <w:pPr>
        <w:pStyle w:val="BodyText"/>
      </w:pPr>
      <w:r>
        <w:t xml:space="preserve">Including Q1 net debt of approximately $2.6 billion, the shares trade around</w:t>
      </w:r>
      <w:r>
        <w:t xml:space="preserve"> </w:t>
      </w:r>
      <w:r>
        <w:rPr>
          <w:b/>
          <w:bCs/>
        </w:rPr>
        <w:t xml:space="preserve">9.6 times</w:t>
      </w:r>
      <w:r>
        <w:t xml:space="preserve"> </w:t>
      </w:r>
      <w:r>
        <w:t xml:space="preserve">an illustrative full-year normalized EBITDA based on the midpoint of revenue guidance and a 33% margin.</w:t>
      </w:r>
    </w:p>
    <w:p>
      <w:pPr>
        <w:pStyle w:val="BodyText"/>
      </w:pPr>
      <w:r>
        <w:t xml:space="preserve">These are undemanding multiples if:</w:t>
      </w:r>
    </w:p>
    <w:p>
      <w:pPr>
        <w:pStyle w:val="Compact"/>
        <w:numPr>
          <w:ilvl w:val="0"/>
          <w:numId w:val="1016"/>
        </w:numPr>
      </w:pPr>
      <w:r>
        <w:t xml:space="preserve">Bookings return to at least 6% growth;</w:t>
      </w:r>
    </w:p>
    <w:p>
      <w:pPr>
        <w:pStyle w:val="Compact"/>
        <w:numPr>
          <w:ilvl w:val="0"/>
          <w:numId w:val="1016"/>
        </w:numPr>
      </w:pPr>
      <w:r>
        <w:t xml:space="preserve">The $1.8 billion FCF target is durable;</w:t>
      </w:r>
    </w:p>
    <w:p>
      <w:pPr>
        <w:pStyle w:val="Compact"/>
        <w:numPr>
          <w:ilvl w:val="0"/>
          <w:numId w:val="1016"/>
        </w:numPr>
      </w:pPr>
      <w:r>
        <w:t xml:space="preserve">AI does not erode the relevance of domains and websites; and</w:t>
      </w:r>
    </w:p>
    <w:p>
      <w:pPr>
        <w:pStyle w:val="Compact"/>
        <w:numPr>
          <w:ilvl w:val="0"/>
          <w:numId w:val="1016"/>
        </w:numPr>
      </w:pPr>
      <w:r>
        <w:t xml:space="preserve">Repurchases continue to reduce the share count.</w:t>
      </w:r>
    </w:p>
    <w:p>
      <w:pPr>
        <w:pStyle w:val="FirstParagraph"/>
      </w:pPr>
      <w:r>
        <w:t xml:space="preserve">GoDaddy repurchased $280 million of stock in Q1, bringing the diluted share count to roughly 133 million. The company had already reduced fully diluted shares by more than 31% since 2022. The lower share price makes continued repurchases potentially more accretive than the sizable purchases made at much higher prices during early 2025. GoDaddy’s 2025 10-K reported more than $2.1 billion of unused authorization at year-end, before Q1 activity. (</w:t>
      </w:r>
      <w:hyperlink r:id="rId26">
        <w:r>
          <w:rPr>
            <w:rStyle w:val="Hyperlink"/>
          </w:rPr>
          <w:t xml:space="preserve">sec.gov</w:t>
        </w:r>
      </w:hyperlink>
      <w:r>
        <w:t xml:space="preserve">)</w:t>
      </w:r>
    </w:p>
    <w:p>
      <w:pPr>
        <w:pStyle w:val="BodyText"/>
      </w:pPr>
      <w:r>
        <w:t xml:space="preserve">The risk is that buybacks create less value if current FCF proves temporarily elevated or if AI requires materially greater reinvestment.</w:t>
      </w:r>
    </w:p>
    <w:p>
      <w:r>
        <w:pict>
          <v:rect style="width:0;height:1.5pt" o:hralign="center" o:hrstd="t" o:hr="t"/>
        </w:pict>
      </w:r>
    </w:p>
    <w:bookmarkEnd w:id="27"/>
    <w:bookmarkStart w:id="33" w:name="principal-risks-going-into-the-report"/>
    <w:p>
      <w:pPr>
        <w:pStyle w:val="Heading2"/>
      </w:pPr>
      <w:r>
        <w:t xml:space="preserve">Principal risks going into the report</w:t>
      </w:r>
    </w:p>
    <w:bookmarkStart w:id="28" w:name="Xb5bd651f6534c62cefcfff235221b416a571f32"/>
    <w:p>
      <w:pPr>
        <w:pStyle w:val="Heading3"/>
      </w:pPr>
      <w:r>
        <w:t xml:space="preserve">AI may be both an opportunity and a disruption</w:t>
      </w:r>
    </w:p>
    <w:p>
      <w:pPr>
        <w:pStyle w:val="FirstParagraph"/>
      </w:pPr>
      <w:r>
        <w:t xml:space="preserve">Airo can improve conversion, attach, product development and customer-care efficiency. At the same time, AI-native website and application builders can lower barriers for new competitors, while AI assistants may reduce traditional search and web-navigation activity.</w:t>
      </w:r>
    </w:p>
    <w:p>
      <w:pPr>
        <w:pStyle w:val="BodyText"/>
      </w:pPr>
      <w:r>
        <w:t xml:space="preserve">GoDaddy explicitly warns that customers could increasingly rely on third-party AI platforms or closed ecosystems, potentially reducing demand for domains, hosting and website products or increasing pricing pressure. (</w:t>
      </w:r>
      <w:hyperlink r:id="rId26">
        <w:r>
          <w:rPr>
            <w:rStyle w:val="Hyperlink"/>
          </w:rPr>
          <w:t xml:space="preserve">sec.gov</w:t>
        </w:r>
      </w:hyperlink>
      <w:r>
        <w:t xml:space="preserve">)</w:t>
      </w:r>
    </w:p>
    <w:bookmarkEnd w:id="28"/>
    <w:bookmarkStart w:id="29" w:name="X886d03a23efefbae336540973ea8735f74498ab"/>
    <w:p>
      <w:pPr>
        <w:pStyle w:val="Heading3"/>
      </w:pPr>
      <w:r>
        <w:t xml:space="preserve">Product-transition and cannibalization risk</w:t>
      </w:r>
    </w:p>
    <w:p>
      <w:pPr>
        <w:pStyle w:val="FirstParagraph"/>
      </w:pPr>
      <w:r>
        <w:t xml:space="preserve">The company is simultaneously upgrading Websites + Marketing, expanding Airo AI Builder, refining promotions and retiring lower-value products. That creates potential volatility in product allocation, bookings, customer count and margins.</w:t>
      </w:r>
    </w:p>
    <w:bookmarkEnd w:id="29"/>
    <w:bookmarkStart w:id="30" w:name="core-business-pressure"/>
    <w:p>
      <w:pPr>
        <w:pStyle w:val="Heading3"/>
      </w:pPr>
      <w:r>
        <w:t xml:space="preserve">Core-business pressure</w:t>
      </w:r>
    </w:p>
    <w:p>
      <w:pPr>
        <w:pStyle w:val="FirstParagraph"/>
      </w:pPr>
      <w:r>
        <w:t xml:space="preserve">Weakness in non-core hosting, lower aftermarket transactions and the</w:t>
      </w:r>
      <w:r>
        <w:t xml:space="preserve"> </w:t>
      </w:r>
      <w:r>
        <w:rPr>
          <w:rStyle w:val="VerbatimChar"/>
        </w:rPr>
        <w:t xml:space="preserve">.CO</w:t>
      </w:r>
      <w:r>
        <w:t xml:space="preserve"> </w:t>
      </w:r>
      <w:r>
        <w:t xml:space="preserve">contract expiration can obscure the health of the domain franchise.</w:t>
      </w:r>
    </w:p>
    <w:bookmarkEnd w:id="30"/>
    <w:bookmarkStart w:id="31" w:name="small-business-sensitivity"/>
    <w:p>
      <w:pPr>
        <w:pStyle w:val="Heading3"/>
      </w:pPr>
      <w:r>
        <w:t xml:space="preserve">Small-business sensitivity</w:t>
      </w:r>
    </w:p>
    <w:p>
      <w:pPr>
        <w:pStyle w:val="FirstParagraph"/>
      </w:pPr>
      <w:r>
        <w:t xml:space="preserve">GoDaddy’s customers often have limited budgets. A deterioration in business formation, renewal rates or discretionary technology spending could affect bookings before it is visible in revenue.</w:t>
      </w:r>
    </w:p>
    <w:bookmarkEnd w:id="31"/>
    <w:bookmarkStart w:id="32" w:name="execution-and-regulatory-risk"/>
    <w:p>
      <w:pPr>
        <w:pStyle w:val="Heading3"/>
      </w:pPr>
      <w:r>
        <w:t xml:space="preserve">Execution and regulatory risk</w:t>
      </w:r>
    </w:p>
    <w:p>
      <w:pPr>
        <w:pStyle w:val="FirstParagraph"/>
      </w:pPr>
      <w:r>
        <w:t xml:space="preserve">AI-driven products introduce risks involving data privacy, intellectual property, inaccurate content, autonomous actions and regulatory compliance. GoDaddy also depends heavily on AWS and other partners for portions of its platform and product suite. (</w:t>
      </w:r>
      <w:hyperlink r:id="rId26">
        <w:r>
          <w:rPr>
            <w:rStyle w:val="Hyperlink"/>
          </w:rPr>
          <w:t xml:space="preserve">sec.gov</w:t>
        </w:r>
      </w:hyperlink>
      <w:r>
        <w:t xml:space="preserve">)</w:t>
      </w:r>
    </w:p>
    <w:p>
      <w:r>
        <w:pict>
          <v:rect style="width:0;height:1.5pt" o:hralign="center" o:hrstd="t" o:hr="t"/>
        </w:pict>
      </w:r>
    </w:p>
    <w:bookmarkEnd w:id="32"/>
    <w:bookmarkEnd w:id="33"/>
    <w:bookmarkStart w:id="37" w:name="scenario-framework"/>
    <w:p>
      <w:pPr>
        <w:pStyle w:val="Heading2"/>
      </w:pPr>
      <w:r>
        <w:t xml:space="preserve">Scenario framework</w:t>
      </w:r>
    </w:p>
    <w:bookmarkStart w:id="34" w:name="bull-case"/>
    <w:p>
      <w:pPr>
        <w:pStyle w:val="Heading3"/>
      </w:pPr>
      <w:r>
        <w:t xml:space="preserve">Bull case</w:t>
      </w:r>
    </w:p>
    <w:p>
      <w:pPr>
        <w:pStyle w:val="Compact"/>
        <w:numPr>
          <w:ilvl w:val="0"/>
          <w:numId w:val="1017"/>
        </w:numPr>
      </w:pPr>
      <w:r>
        <w:t xml:space="preserve">Revenue above</w:t>
      </w:r>
      <w:r>
        <w:t xml:space="preserve"> </w:t>
      </w:r>
      <w:r>
        <w:rPr>
          <w:b/>
          <w:bCs/>
        </w:rPr>
        <w:t xml:space="preserve">$1.305 billion</w:t>
      </w:r>
      <w:r>
        <w:t xml:space="preserve">;</w:t>
      </w:r>
    </w:p>
    <w:p>
      <w:pPr>
        <w:pStyle w:val="Compact"/>
        <w:numPr>
          <w:ilvl w:val="0"/>
          <w:numId w:val="1017"/>
        </w:numPr>
      </w:pPr>
      <w:r>
        <w:t xml:space="preserve">Bookings growth of</w:t>
      </w:r>
      <w:r>
        <w:t xml:space="preserve"> </w:t>
      </w:r>
      <w:r>
        <w:rPr>
          <w:b/>
          <w:bCs/>
        </w:rPr>
        <w:t xml:space="preserve">7% or better</w:t>
      </w:r>
      <w:r>
        <w:t xml:space="preserve">;</w:t>
      </w:r>
    </w:p>
    <w:p>
      <w:pPr>
        <w:pStyle w:val="Compact"/>
        <w:numPr>
          <w:ilvl w:val="0"/>
          <w:numId w:val="1017"/>
        </w:numPr>
      </w:pPr>
      <w:r>
        <w:t xml:space="preserve">A&amp;C growth of at least 12%;</w:t>
      </w:r>
    </w:p>
    <w:p>
      <w:pPr>
        <w:pStyle w:val="Compact"/>
        <w:numPr>
          <w:ilvl w:val="0"/>
          <w:numId w:val="1017"/>
        </w:numPr>
      </w:pPr>
      <w:r>
        <w:t xml:space="preserve">Normalized EBITDA margin of 33.5% or better;</w:t>
      </w:r>
    </w:p>
    <w:p>
      <w:pPr>
        <w:pStyle w:val="Compact"/>
        <w:numPr>
          <w:ilvl w:val="0"/>
          <w:numId w:val="1017"/>
        </w:numPr>
      </w:pPr>
      <w:r>
        <w:t xml:space="preserve">Airo AI Builder run rate has increased materially;</w:t>
      </w:r>
    </w:p>
    <w:p>
      <w:pPr>
        <w:pStyle w:val="Compact"/>
        <w:numPr>
          <w:ilvl w:val="0"/>
          <w:numId w:val="1017"/>
        </w:numPr>
      </w:pPr>
      <w:r>
        <w:t xml:space="preserve">FY revenue or FCF guidance raised;</w:t>
      </w:r>
    </w:p>
    <w:p>
      <w:pPr>
        <w:pStyle w:val="Compact"/>
        <w:numPr>
          <w:ilvl w:val="0"/>
          <w:numId w:val="1017"/>
        </w:numPr>
      </w:pPr>
      <w:r>
        <w:t xml:space="preserve">Strong repurchase activity.</w:t>
      </w:r>
    </w:p>
    <w:p>
      <w:pPr>
        <w:pStyle w:val="FirstParagraph"/>
      </w:pPr>
      <w:r>
        <w:t xml:space="preserve">This would support the view that GoDaddy can compound FCF while converting its domain funnel into an AI-powered small-business platform.</w:t>
      </w:r>
    </w:p>
    <w:bookmarkEnd w:id="34"/>
    <w:bookmarkStart w:id="35" w:name="base-case"/>
    <w:p>
      <w:pPr>
        <w:pStyle w:val="Heading3"/>
      </w:pPr>
      <w:r>
        <w:t xml:space="preserve">Base case</w:t>
      </w:r>
    </w:p>
    <w:p>
      <w:pPr>
        <w:pStyle w:val="Compact"/>
        <w:numPr>
          <w:ilvl w:val="0"/>
          <w:numId w:val="1018"/>
        </w:numPr>
      </w:pPr>
      <w:r>
        <w:t xml:space="preserve">Revenue around</w:t>
      </w:r>
      <w:r>
        <w:t xml:space="preserve"> </w:t>
      </w:r>
      <m:oMath>
        <m:r>
          <m:t>1.29</m:t>
        </m:r>
        <m:r>
          <m:t>b</m:t>
        </m:r>
        <m:r>
          <m:t>i</m:t>
        </m:r>
        <m:r>
          <m:t>l</m:t>
        </m:r>
        <m:r>
          <m:t>l</m:t>
        </m:r>
        <m:r>
          <m:t>i</m:t>
        </m:r>
        <m:r>
          <m:t>o</m:t>
        </m:r>
        <m:r>
          <m:t>n</m:t>
        </m:r>
        <m:r>
          <m:rPr>
            <m:sty m:val="p"/>
          </m:rPr>
          <m:t>–</m:t>
        </m:r>
      </m:oMath>
      <w:r>
        <w:rPr>
          <w:b/>
          <w:bCs/>
        </w:rPr>
        <w:t xml:space="preserve">1.30 billion</w:t>
      </w:r>
      <w:r>
        <w:t xml:space="preserve">;</w:t>
      </w:r>
    </w:p>
    <w:p>
      <w:pPr>
        <w:pStyle w:val="Compact"/>
        <w:numPr>
          <w:ilvl w:val="0"/>
          <w:numId w:val="1018"/>
        </w:numPr>
      </w:pPr>
      <w:r>
        <w:t xml:space="preserve">Bookings growth near 6%;</w:t>
      </w:r>
    </w:p>
    <w:p>
      <w:pPr>
        <w:pStyle w:val="Compact"/>
        <w:numPr>
          <w:ilvl w:val="0"/>
          <w:numId w:val="1018"/>
        </w:numPr>
      </w:pPr>
      <w:r>
        <w:t xml:space="preserve">Approximately 33% normalized EBITDA margin;</w:t>
      </w:r>
    </w:p>
    <w:p>
      <w:pPr>
        <w:pStyle w:val="Compact"/>
        <w:numPr>
          <w:ilvl w:val="0"/>
          <w:numId w:val="1018"/>
        </w:numPr>
      </w:pPr>
      <w:r>
        <w:t xml:space="preserve">Airo adoption improving but still financially small;</w:t>
      </w:r>
    </w:p>
    <w:p>
      <w:pPr>
        <w:pStyle w:val="Compact"/>
        <w:numPr>
          <w:ilvl w:val="0"/>
          <w:numId w:val="1018"/>
        </w:numPr>
      </w:pPr>
      <w:r>
        <w:t xml:space="preserve">Full-year guidance reaffirmed.</w:t>
      </w:r>
    </w:p>
    <w:p>
      <w:pPr>
        <w:pStyle w:val="FirstParagraph"/>
      </w:pPr>
      <w:r>
        <w:t xml:space="preserve">This would be fundamentally satisfactory, although the recent share-price rally could limit the immediate upside.</w:t>
      </w:r>
    </w:p>
    <w:bookmarkEnd w:id="35"/>
    <w:bookmarkStart w:id="36" w:name="bear-case"/>
    <w:p>
      <w:pPr>
        <w:pStyle w:val="Heading3"/>
      </w:pPr>
      <w:r>
        <w:t xml:space="preserve">Bear case</w:t>
      </w:r>
    </w:p>
    <w:p>
      <w:pPr>
        <w:pStyle w:val="Compact"/>
        <w:numPr>
          <w:ilvl w:val="0"/>
          <w:numId w:val="1019"/>
        </w:numPr>
      </w:pPr>
      <w:r>
        <w:t xml:space="preserve">Revenue at or below the low end;</w:t>
      </w:r>
    </w:p>
    <w:p>
      <w:pPr>
        <w:pStyle w:val="Compact"/>
        <w:numPr>
          <w:ilvl w:val="0"/>
          <w:numId w:val="1019"/>
        </w:numPr>
      </w:pPr>
      <w:r>
        <w:t xml:space="preserve">Bookings growth below 4%–5%;</w:t>
      </w:r>
    </w:p>
    <w:p>
      <w:pPr>
        <w:pStyle w:val="Compact"/>
        <w:numPr>
          <w:ilvl w:val="0"/>
          <w:numId w:val="1019"/>
        </w:numPr>
      </w:pPr>
      <w:r>
        <w:t xml:space="preserve">Core growth near zero or negative;</w:t>
      </w:r>
    </w:p>
    <w:p>
      <w:pPr>
        <w:pStyle w:val="Compact"/>
        <w:numPr>
          <w:ilvl w:val="0"/>
          <w:numId w:val="1019"/>
        </w:numPr>
      </w:pPr>
      <w:r>
        <w:t xml:space="preserve">Margin below approximately 32.5%;</w:t>
      </w:r>
    </w:p>
    <w:p>
      <w:pPr>
        <w:pStyle w:val="Compact"/>
        <w:numPr>
          <w:ilvl w:val="0"/>
          <w:numId w:val="1019"/>
        </w:numPr>
      </w:pPr>
      <w:r>
        <w:t xml:space="preserve">Limited quantitative evidence of Airo progress;</w:t>
      </w:r>
    </w:p>
    <w:p>
      <w:pPr>
        <w:pStyle w:val="Compact"/>
        <w:numPr>
          <w:ilvl w:val="0"/>
          <w:numId w:val="1019"/>
        </w:numPr>
      </w:pPr>
      <w:r>
        <w:t xml:space="preserve">FCF or margin guidance reduced.</w:t>
      </w:r>
    </w:p>
    <w:p>
      <w:pPr>
        <w:pStyle w:val="FirstParagraph"/>
      </w:pPr>
      <w:r>
        <w:t xml:space="preserve">That combination would raise questions about whether AI investment and promotional activity are generating sufficient incremental demand.</w:t>
      </w:r>
    </w:p>
    <w:p>
      <w:r>
        <w:pict>
          <v:rect style="width:0;height:1.5pt" o:hralign="center" o:hrstd="t" o:hr="t"/>
        </w:pict>
      </w:r>
    </w:p>
    <w:bookmarkEnd w:id="36"/>
    <w:bookmarkEnd w:id="37"/>
    <w:bookmarkStart w:id="38" w:name="bottom-line"/>
    <w:p>
      <w:pPr>
        <w:pStyle w:val="Heading2"/>
      </w:pPr>
      <w:r>
        <w:t xml:space="preserve">Bottom line</w:t>
      </w:r>
    </w:p>
    <w:p>
      <w:pPr>
        <w:pStyle w:val="FirstParagraph"/>
      </w:pPr>
      <w:r>
        <w:t xml:space="preserve">The Q2 revenue and EPS figures matter, but</w:t>
      </w:r>
      <w:r>
        <w:t xml:space="preserve"> </w:t>
      </w:r>
      <w:r>
        <w:rPr>
          <w:b/>
          <w:bCs/>
        </w:rPr>
        <w:t xml:space="preserve">bookings, Airo traction and the full-year FCF outlook will determine the quality of the report</w:t>
      </w:r>
      <w:r>
        <w:t xml:space="preserve">.</w:t>
      </w:r>
    </w:p>
    <w:p>
      <w:pPr>
        <w:pStyle w:val="BodyText"/>
      </w:pPr>
      <w:r>
        <w:t xml:space="preserve">The key test is whether GoDaddy can deliver all three of the following simultaneously:</w:t>
      </w:r>
    </w:p>
    <w:p>
      <w:pPr>
        <w:pStyle w:val="Compact"/>
        <w:numPr>
          <w:ilvl w:val="0"/>
          <w:numId w:val="1020"/>
        </w:numPr>
      </w:pPr>
      <w:r>
        <w:rPr>
          <w:b/>
          <w:bCs/>
        </w:rPr>
        <w:t xml:space="preserve">Bookings growth returning to at least revenue-growth parity;</w:t>
      </w:r>
    </w:p>
    <w:p>
      <w:pPr>
        <w:pStyle w:val="Compact"/>
        <w:numPr>
          <w:ilvl w:val="0"/>
          <w:numId w:val="1020"/>
        </w:numPr>
      </w:pPr>
      <w:r>
        <w:rPr>
          <w:b/>
          <w:bCs/>
        </w:rPr>
        <w:t xml:space="preserve">Visible monetization from Airo and improved product attach; and</w:t>
      </w:r>
    </w:p>
    <w:p>
      <w:pPr>
        <w:pStyle w:val="Compact"/>
        <w:numPr>
          <w:ilvl w:val="0"/>
          <w:numId w:val="1020"/>
        </w:numPr>
      </w:pPr>
      <w:r>
        <w:rPr>
          <w:b/>
          <w:bCs/>
        </w:rPr>
        <w:t xml:space="preserve">Approximately 33% margins while continuing to invest.</w:t>
      </w:r>
    </w:p>
    <w:p>
      <w:pPr>
        <w:pStyle w:val="FirstParagraph"/>
      </w:pPr>
      <w:r>
        <w:t xml:space="preserve">If those conditions are met, the current valuation and ongoing share reduction provide a compelling earnings-growth setup. If bookings remain soft and Airo commentary stays largely qualitative, investors may conclude that the attractive FCF yield reflects structural AI and growth risk rather than simple undervaluation.</w:t>
      </w:r>
    </w:p>
    <w:bookmarkEnd w:id="38"/>
    <w:bookmarkEnd w:id="3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aboutus.godaddy.net/newsroom/news-releases/press-release-details/2026/GoDaddy-Inc--to-Announce-Second-Quarter-2026-Financial-Results-on-Thursday-July-30-2026/default.aspx?utm_source=openai" TargetMode="External" /><Relationship Type="http://schemas.openxmlformats.org/officeDocument/2006/relationships/hyperlink" Id="rId12" Target="https://www.barchart.com/stocks/quotes/GDDY/earnings-estimates?utm_source=openai" TargetMode="External" /><Relationship Type="http://schemas.openxmlformats.org/officeDocument/2006/relationships/hyperlink" Id="rId13" Target="https://www.sec.gov/Archives/edgar/data/1609711/000160971125000151/gddyex991-20250630xq2earni.htm?utm_source=openai" TargetMode="External" /><Relationship Type="http://schemas.openxmlformats.org/officeDocument/2006/relationships/hyperlink" Id="rId26" Target="https://www.sec.gov/Archives/edgar/data/1609711/000160971126000010/gddy-20251231.htm?utm_source=openai" TargetMode="External" /><Relationship Type="http://schemas.openxmlformats.org/officeDocument/2006/relationships/hyperlink" Id="rId11" Target="https://www.sec.gov/Archives/edgar/data/1609711/000160971126000035/gddyex991-20260331xq1earni.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aboutus.godaddy.net/newsroom/news-releases/press-release-details/2026/GoDaddy-Inc--to-Announce-Second-Quarter-2026-Financial-Results-on-Thursday-July-30-2026/default.aspx?utm_source=openai" TargetMode="External" /><Relationship Type="http://schemas.openxmlformats.org/officeDocument/2006/relationships/hyperlink" Id="rId12" Target="https://www.barchart.com/stocks/quotes/GDDY/earnings-estimates?utm_source=openai" TargetMode="External" /><Relationship Type="http://schemas.openxmlformats.org/officeDocument/2006/relationships/hyperlink" Id="rId13" Target="https://www.sec.gov/Archives/edgar/data/1609711/000160971125000151/gddyex991-20250630xq2earni.htm?utm_source=openai" TargetMode="External" /><Relationship Type="http://schemas.openxmlformats.org/officeDocument/2006/relationships/hyperlink" Id="rId26" Target="https://www.sec.gov/Archives/edgar/data/1609711/000160971126000010/gddy-20251231.htm?utm_source=openai" TargetMode="External" /><Relationship Type="http://schemas.openxmlformats.org/officeDocument/2006/relationships/hyperlink" Id="rId11" Target="https://www.sec.gov/Archives/edgar/data/1609711/000160971126000035/gddyex991-20260331xq1earni.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2026-07-29T19:35:44Z</dcterms:created>
  <dcterms:modified xsi:type="dcterms:W3CDTF">2026-07-29T19:35:44Z</dcterms:modified>
</cp:coreProperties>
</file>

<file path=docProps/custom.xml><?xml version="1.0" encoding="utf-8"?>
<Properties xmlns="http://schemas.openxmlformats.org/officeDocument/2006/custom-properties" xmlns:vt="http://schemas.openxmlformats.org/officeDocument/2006/docPropsVTypes"/>
</file>