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godaddy-nyse-gddy--2q26-earnings-preview"/>
    <w:p>
      <w:pPr>
        <w:pStyle w:val="Heading1"/>
      </w:pPr>
      <w:r>
        <w:t xml:space="preserve">GoDaddy (NYSE: GDDY) — 2Q26 Earnings Preview</w:t>
      </w:r>
    </w:p>
    <w:p>
      <w:pPr>
        <w:pStyle w:val="FirstParagraph"/>
      </w:pPr>
      <w:r>
        <w:rPr>
          <w:b/>
          <w:bCs/>
        </w:rPr>
        <w:t xml:space="preserve">Event:</w:t>
      </w:r>
      <w:r>
        <w:t xml:space="preserve"> </w:t>
      </w:r>
      <w:r>
        <w:t xml:space="preserve">Thursday, July 30, 2026, after the U.S. market close; webcast at 5:00 p.m. ET. (</w:t>
      </w:r>
      <w:hyperlink r:id="rId9">
        <w:r>
          <w:rPr>
            <w:rStyle w:val="Hyperlink"/>
          </w:rPr>
          <w:t xml:space="preserve">aboutus.godaddy.net</w:t>
        </w:r>
      </w:hyperlink>
      <w:r>
        <w:t xml:space="preserve">)</w:t>
      </w:r>
    </w:p>
    <w:bookmarkStart w:id="10" w:name="bottom-line"/>
    <w:p>
      <w:pPr>
        <w:pStyle w:val="Heading2"/>
      </w:pPr>
      <w:r>
        <w:t xml:space="preserve">Bottom line</w:t>
      </w:r>
    </w:p>
    <w:p>
      <w:pPr>
        <w:pStyle w:val="FirstParagraph"/>
      </w:pPr>
      <w:r>
        <w:t xml:space="preserve">GoDaddy enters 2Q26 with a relatively straightforward near-term setup: the company needs to demonstrate that</w:t>
      </w:r>
      <w:r>
        <w:t xml:space="preserve"> </w:t>
      </w:r>
      <w:r>
        <w:rPr>
          <w:b/>
          <w:bCs/>
        </w:rPr>
        <w:t xml:space="preserve">bookings have reaccelerated after a deliberately soft 1Q</w:t>
      </w:r>
      <w:r>
        <w:t xml:space="preserve">, while sustaining roughly</w:t>
      </w:r>
      <w:r>
        <w:t xml:space="preserve"> </w:t>
      </w:r>
      <w:r>
        <w:rPr>
          <w:b/>
          <w:bCs/>
        </w:rPr>
        <w:t xml:space="preserve">33% normalized EBITDA margin</w:t>
      </w:r>
      <w:r>
        <w:t xml:space="preserve"> </w:t>
      </w:r>
      <w:r>
        <w:t xml:space="preserve">despite stepping up Airo marketing and AI-related product investment.</w:t>
      </w:r>
    </w:p>
    <w:p>
      <w:pPr>
        <w:pStyle w:val="BodyText"/>
      </w:pPr>
      <w:r>
        <w:t xml:space="preserve">The core investment debate is not the reported revenue number alone. Investors will focus on whether GoDaddy can turn its AI product launches—especially Airo AI Builder and newer WordPress capabilities—into incremental, high-quality customer acquisition and higher product attach</w:t>
      </w:r>
      <w:r>
        <w:t xml:space="preserve"> </w:t>
      </w:r>
      <w:r>
        <w:rPr>
          <w:b/>
          <w:bCs/>
        </w:rPr>
        <w:t xml:space="preserve">without sacrificing the company’s unusual combination of margin expansion and free-cash-flow generation</w:t>
      </w:r>
      <w:r>
        <w:t xml:space="preserve">.</w:t>
      </w:r>
    </w:p>
    <w:bookmarkEnd w:id="10"/>
    <w:bookmarkStart w:id="12" w:name="what-godaddy-has-guided-to"/>
    <w:p>
      <w:pPr>
        <w:pStyle w:val="Heading2"/>
      </w:pPr>
      <w:r>
        <w:t xml:space="preserve">What GoDaddy has guided to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2Q26 company outlook</w:t>
            </w:r>
          </w:p>
        </w:tc>
        <w:tc>
          <w:tcPr/>
          <w:p>
            <w:pPr>
              <w:pStyle w:val="Compact"/>
            </w:pPr>
            <w:r>
              <w:t xml:space="preserve">Investor read-through</w:t>
            </w:r>
          </w:p>
        </w:tc>
      </w:tr>
      <w:tr>
        <w:tc>
          <w:tcPr/>
          <w:p>
            <w:pPr>
              <w:pStyle w:val="Compact"/>
            </w:pPr>
            <w:r>
              <w:t xml:space="preserve">Revenue</w:t>
            </w:r>
          </w:p>
        </w:tc>
        <w:tc>
          <w:tcPr/>
          <w:p>
            <w:pPr>
              <w:pStyle w:val="Compact"/>
              <w:jc w:val="right"/>
            </w:pPr>
            <m:oMath>
              <m:r>
                <m:t>1.285</m:t>
              </m:r>
              <m:r>
                <m:t>B</m:t>
              </m:r>
              <m:r>
                <m:rPr>
                  <m:sty m:val="p"/>
                </m:rPr>
                <m:t>–</m:t>
              </m:r>
            </m:oMath>
            <w:r>
              <w:rPr>
                <w:b/>
                <w:bCs/>
              </w:rPr>
              <w:t xml:space="preserve">1.305B</w:t>
            </w:r>
          </w:p>
        </w:tc>
        <w:tc>
          <w:tcPr/>
          <w:p>
            <w:pPr>
              <w:pStyle w:val="Compact"/>
            </w:pPr>
            <w:r>
              <w:t xml:space="preserve">Midpoint implies ~6% YoY growth</w:t>
            </w:r>
          </w:p>
        </w:tc>
      </w:tr>
      <w:tr>
        <w:tc>
          <w:tcPr/>
          <w:p>
            <w:pPr>
              <w:pStyle w:val="Compact"/>
            </w:pPr>
            <w:r>
              <w:t xml:space="preserve">A&amp;C revenue</w:t>
            </w:r>
          </w:p>
        </w:tc>
        <w:tc>
          <w:tcPr/>
          <w:p>
            <w:pPr>
              <w:pStyle w:val="Compact"/>
              <w:jc w:val="right"/>
            </w:pPr>
            <w:r>
              <w:rPr>
                <w:b/>
                <w:bCs/>
              </w:rPr>
              <w:t xml:space="preserve">Low-double-digit YoY growth</w:t>
            </w:r>
          </w:p>
        </w:tc>
        <w:tc>
          <w:tcPr/>
          <w:p>
            <w:pPr>
              <w:pStyle w:val="Compact"/>
            </w:pPr>
            <w:r>
              <w:t xml:space="preserve">Primary growth engine; must remain durable</w:t>
            </w:r>
          </w:p>
        </w:tc>
      </w:tr>
      <w:tr>
        <w:tc>
          <w:tcPr/>
          <w:p>
            <w:pPr>
              <w:pStyle w:val="Compact"/>
            </w:pPr>
            <w:r>
              <w:t xml:space="preserve">Core Platform revenue</w:t>
            </w:r>
          </w:p>
        </w:tc>
        <w:tc>
          <w:tcPr/>
          <w:p>
            <w:pPr>
              <w:pStyle w:val="Compact"/>
              <w:jc w:val="right"/>
            </w:pPr>
            <w:r>
              <w:rPr>
                <w:b/>
                <w:bCs/>
              </w:rPr>
              <w:t xml:space="preserve">Low-single-digit YoY growth</w:t>
            </w:r>
          </w:p>
        </w:tc>
        <w:tc>
          <w:tcPr/>
          <w:p>
            <w:pPr>
              <w:pStyle w:val="Compact"/>
            </w:pPr>
            <w:r>
              <w:t xml:space="preserve">Domain-led base should be stable, but not a growth driver</w:t>
            </w:r>
          </w:p>
        </w:tc>
      </w:tr>
      <w:tr>
        <w:tc>
          <w:tcPr/>
          <w:p>
            <w:pPr>
              <w:pStyle w:val="Compact"/>
            </w:pPr>
            <w:r>
              <w:t xml:space="preserve">Normalized EBITDA margin</w:t>
            </w:r>
          </w:p>
        </w:tc>
        <w:tc>
          <w:tcPr/>
          <w:p>
            <w:pPr>
              <w:pStyle w:val="Compact"/>
              <w:jc w:val="right"/>
            </w:pPr>
            <w:r>
              <w:rPr>
                <w:b/>
                <w:bCs/>
              </w:rPr>
              <w:t xml:space="preserve">~33%</w:t>
            </w:r>
          </w:p>
        </w:tc>
        <w:tc>
          <w:tcPr/>
          <w:p>
            <w:pPr>
              <w:pStyle w:val="Compact"/>
            </w:pPr>
            <w:r>
              <w:t xml:space="preserve">Implies roughly</w:t>
            </w:r>
            <w:r>
              <w:t xml:space="preserve"> </w:t>
            </w:r>
            <m:oMath>
              <m:r>
                <m:t>424</m:t>
              </m:r>
              <m:r>
                <m:t>M</m:t>
              </m:r>
              <m:r>
                <m:rPr>
                  <m:sty m:val="p"/>
                </m:rPr>
                <m:t>–</m:t>
              </m:r>
            </m:oMath>
            <w:r>
              <w:rPr>
                <w:b/>
                <w:bCs/>
              </w:rPr>
              <w:t xml:space="preserve">431M</w:t>
            </w:r>
            <w:r>
              <w:t xml:space="preserve"> </w:t>
            </w:r>
            <w:r>
              <w:t xml:space="preserve">of normalized EBITDA across the revenue range</w:t>
            </w:r>
          </w:p>
        </w:tc>
      </w:tr>
      <w:tr>
        <w:tc>
          <w:tcPr/>
          <w:p>
            <w:pPr>
              <w:pStyle w:val="Compact"/>
            </w:pPr>
            <w:r>
              <w:t xml:space="preserve">FY26 revenue</w:t>
            </w:r>
          </w:p>
        </w:tc>
        <w:tc>
          <w:tcPr/>
          <w:p>
            <w:pPr>
              <w:pStyle w:val="Compact"/>
              <w:jc w:val="right"/>
            </w:pPr>
            <m:oMath>
              <m:r>
                <m:t>5.195</m:t>
              </m:r>
              <m:r>
                <m:t>B</m:t>
              </m:r>
              <m:r>
                <m:rPr>
                  <m:sty m:val="p"/>
                </m:rPr>
                <m:t>–</m:t>
              </m:r>
            </m:oMath>
            <w:r>
              <w:rPr>
                <w:b/>
                <w:bCs/>
              </w:rPr>
              <w:t xml:space="preserve">5.275B</w:t>
            </w:r>
          </w:p>
        </w:tc>
        <w:tc>
          <w:tcPr/>
          <w:p>
            <w:pPr>
              <w:pStyle w:val="Compact"/>
            </w:pPr>
            <w:r>
              <w:t xml:space="preserve">Guidance reaffirmation is the key bar</w:t>
            </w:r>
          </w:p>
        </w:tc>
      </w:tr>
      <w:tr>
        <w:tc>
          <w:tcPr/>
          <w:p>
            <w:pPr>
              <w:pStyle w:val="Compact"/>
            </w:pPr>
            <w:r>
              <w:t xml:space="preserve">FY26 normalized EBITDA margin</w:t>
            </w:r>
          </w:p>
        </w:tc>
        <w:tc>
          <w:tcPr/>
          <w:p>
            <w:pPr>
              <w:pStyle w:val="Compact"/>
              <w:jc w:val="right"/>
            </w:pPr>
            <w:r>
              <w:rPr>
                <w:b/>
                <w:bCs/>
              </w:rPr>
              <w:t xml:space="preserve">&gt;33%</w:t>
            </w:r>
          </w:p>
        </w:tc>
        <w:tc>
          <w:tcPr/>
          <w:p>
            <w:pPr>
              <w:pStyle w:val="Compact"/>
            </w:pPr>
            <w:r>
              <w:t xml:space="preserve">Tests whether AI investment is self-funded through efficiency and mix</w:t>
            </w:r>
          </w:p>
        </w:tc>
      </w:tr>
      <w:tr>
        <w:tc>
          <w:tcPr/>
          <w:p>
            <w:pPr>
              <w:pStyle w:val="Compact"/>
            </w:pPr>
            <w:r>
              <w:t xml:space="preserve">FY26 free cash flow</w:t>
            </w:r>
          </w:p>
        </w:tc>
        <w:tc>
          <w:tcPr/>
          <w:p>
            <w:pPr>
              <w:pStyle w:val="Compact"/>
              <w:jc w:val="right"/>
            </w:pPr>
            <w:r>
              <w:rPr>
                <w:b/>
                <w:bCs/>
              </w:rPr>
              <w:t xml:space="preserve">~$1.8B</w:t>
            </w:r>
          </w:p>
        </w:tc>
        <w:tc>
          <w:tcPr/>
          <w:p>
            <w:pPr>
              <w:pStyle w:val="Compact"/>
            </w:pPr>
            <w:r>
              <w:t xml:space="preserve">Central to the valuation and capital-return case</w:t>
            </w:r>
          </w:p>
        </w:tc>
      </w:tr>
    </w:tbl>
    <w:p>
      <w:pPr>
        <w:pStyle w:val="BodyText"/>
      </w:pPr>
      <w:r>
        <w:t xml:space="preserve">The company’s 2Q revenue midpoint is $1.295B, or approximately 6.4% growth from 2Q25 revenue of $1.218B. GoDaddy also reiterated a full-year</w:t>
      </w:r>
      <w:r>
        <w:t xml:space="preserve"> </w:t>
      </w:r>
      <m:oMath>
        <m:r>
          <m:t>5.195</m:t>
        </m:r>
        <m:r>
          <m:t>B</m:t>
        </m:r>
        <m:r>
          <m:rPr>
            <m:sty m:val="p"/>
          </m:rPr>
          <m:t>–</m:t>
        </m:r>
      </m:oMath>
      <w:r>
        <w:t xml:space="preserve">5.275B revenue outlook, normalized EBITDA margin above 33%, and approximately $1.8B of free cash flow. (</w:t>
      </w:r>
      <w:hyperlink r:id="rId11">
        <w:r>
          <w:rPr>
            <w:rStyle w:val="Hyperlink"/>
          </w:rPr>
          <w:t xml:space="preserve">aboutus.godaddy.net</w:t>
        </w:r>
      </w:hyperlink>
      <w:r>
        <w:t xml:space="preserve">)</w:t>
      </w:r>
    </w:p>
    <w:bookmarkEnd w:id="12"/>
    <w:bookmarkStart w:id="13" w:name="X9b4b682d7f46e047a26a5ff179db380cbe71076"/>
    <w:p>
      <w:pPr>
        <w:pStyle w:val="Heading2"/>
      </w:pPr>
      <w:r>
        <w:t xml:space="preserve">The setup: bookings matter more than revenue</w:t>
      </w:r>
    </w:p>
    <w:p>
      <w:pPr>
        <w:pStyle w:val="FirstParagraph"/>
      </w:pPr>
      <w:r>
        <w:t xml:space="preserve">In 1Q26, GoDaddy delivered</w:t>
      </w:r>
      <w:r>
        <w:t xml:space="preserve"> </w:t>
      </w:r>
      <w:r>
        <w:rPr>
          <w:b/>
          <w:bCs/>
        </w:rPr>
        <w:t xml:space="preserve">6% revenue growth</w:t>
      </w:r>
      <w:r>
        <w:t xml:space="preserve"> </w:t>
      </w:r>
      <w:r>
        <w:t xml:space="preserve">but only</w:t>
      </w:r>
      <w:r>
        <w:t xml:space="preserve"> </w:t>
      </w:r>
      <w:r>
        <w:rPr>
          <w:b/>
          <w:bCs/>
        </w:rPr>
        <w:t xml:space="preserve">3% bookings growth</w:t>
      </w:r>
      <w:r>
        <w:t xml:space="preserve">. The divergence reflected known pressure points: promotional changes, the .CO registry contract expiration, product evolution, and tougher aftermarket comparisons. Management characterized 1Q as the peak impact period and indicated bookings growth should return to parity with, or exceed, revenue growth during the balance of 2026.</w:t>
      </w:r>
    </w:p>
    <w:p>
      <w:pPr>
        <w:pStyle w:val="BodyText"/>
      </w:pPr>
      <w:r>
        <w:t xml:space="preserve">That makes 2Q the first meaningful proof point. With 2Q25 bookings of</w:t>
      </w:r>
      <w:r>
        <w:t xml:space="preserve"> </w:t>
      </w:r>
      <m:oMath>
        <m:r>
          <m:t>1.345</m:t>
        </m:r>
        <m:r>
          <m:t>B</m:t>
        </m:r>
        <m:r>
          <m:rPr>
            <m:sty m:val="p"/>
          </m:rPr>
          <m:t>,</m:t>
        </m:r>
        <m:r>
          <m:t>r</m:t>
        </m:r>
        <m:r>
          <m:t>e</m:t>
        </m:r>
        <m:r>
          <m:t>v</m:t>
        </m:r>
        <m:r>
          <m:t>e</m:t>
        </m:r>
        <m:r>
          <m:t>n</m:t>
        </m:r>
        <m:r>
          <m:t>u</m:t>
        </m:r>
        <m:r>
          <m:t>e</m:t>
        </m:r>
        <m:r>
          <m:rPr>
            <m:sty m:val="p"/>
          </m:rPr>
          <m:t>−</m:t>
        </m:r>
        <m:r>
          <m:t>l</m:t>
        </m:r>
        <m:r>
          <m:t>i</m:t>
        </m:r>
        <m:r>
          <m:t>k</m:t>
        </m:r>
        <m:r>
          <m:t>e</m:t>
        </m:r>
        <m:r>
          <m:t>b</m:t>
        </m:r>
        <m:r>
          <m:t>o</m:t>
        </m:r>
        <m:r>
          <m:t>o</m:t>
        </m:r>
        <m:r>
          <m:t>k</m:t>
        </m:r>
        <m:r>
          <m:t>i</m:t>
        </m:r>
        <m:r>
          <m:t>n</m:t>
        </m:r>
        <m:r>
          <m:t>g</m:t>
        </m:r>
        <m:r>
          <m:t>s</m:t>
        </m:r>
        <m:r>
          <m:t>g</m:t>
        </m:r>
        <m:r>
          <m:t>r</m:t>
        </m:r>
        <m:r>
          <m:t>o</m:t>
        </m:r>
        <m:r>
          <m:t>w</m:t>
        </m:r>
        <m:r>
          <m:t>t</m:t>
        </m:r>
        <m:r>
          <m:t>h</m:t>
        </m:r>
        <m:r>
          <m:t>w</m:t>
        </m:r>
        <m:r>
          <m:t>o</m:t>
        </m:r>
        <m:r>
          <m:t>u</m:t>
        </m:r>
        <m:r>
          <m:t>l</m:t>
        </m:r>
        <m:r>
          <m:t>d</m:t>
        </m:r>
        <m:r>
          <m:t>i</m:t>
        </m:r>
        <m:r>
          <m:t>m</m:t>
        </m:r>
        <m:r>
          <m:t>p</m:t>
        </m:r>
        <m:r>
          <m:t>l</m:t>
        </m:r>
        <m:r>
          <m:t>y</m:t>
        </m:r>
        <m:r>
          <m:t>a</m:t>
        </m:r>
        <m:r>
          <m:t>r</m:t>
        </m:r>
        <m:r>
          <m:t>e</m:t>
        </m:r>
        <m:r>
          <m:t>s</m:t>
        </m:r>
        <m:r>
          <m:t>u</m:t>
        </m:r>
        <m:r>
          <m:t>l</m:t>
        </m:r>
        <m:r>
          <m:t>t</m:t>
        </m:r>
        <m:r>
          <m:t>i</m:t>
        </m:r>
        <m:r>
          <m:t>n</m:t>
        </m:r>
        <m:r>
          <m:t>t</m:t>
        </m:r>
        <m:r>
          <m:t>h</m:t>
        </m:r>
        <m:r>
          <m:t>e</m:t>
        </m:r>
        <m:r>
          <m:t>n</m:t>
        </m:r>
        <m:r>
          <m:t>e</m:t>
        </m:r>
        <m:r>
          <m:t>i</m:t>
        </m:r>
        <m:r>
          <m:t>g</m:t>
        </m:r>
        <m:r>
          <m:t>h</m:t>
        </m:r>
        <m:r>
          <m:t>b</m:t>
        </m:r>
        <m:r>
          <m:t>o</m:t>
        </m:r>
        <m:r>
          <m:t>r</m:t>
        </m:r>
        <m:r>
          <m:t>h</m:t>
        </m:r>
        <m:r>
          <m:t>o</m:t>
        </m:r>
        <m:r>
          <m:t>o</m:t>
        </m:r>
        <m:r>
          <m:t>d</m:t>
        </m:r>
        <m:r>
          <m:t>o</m:t>
        </m:r>
        <m:r>
          <m:t>f</m:t>
        </m:r>
        <m:r>
          <m:rPr>
            <m:sty m:val="p"/>
          </m:rPr>
          <m:t>*</m:t>
        </m:r>
        <m:r>
          <m:rPr>
            <m:sty m:val="p"/>
          </m:rPr>
          <m:t>*</m:t>
        </m:r>
      </m:oMath>
      <w:r>
        <w:t xml:space="preserve">1.43B or higher**. This is not formal company guidance, but it is a useful threshold for judging whether the expected normalization is occurring. GoDaddy reported 1Q bookings of $1.455B, revenue of $1.267B, and ARR of $4.288B. (</w:t>
      </w:r>
      <w:hyperlink r:id="rId11">
        <w:r>
          <w:rPr>
            <w:rStyle w:val="Hyperlink"/>
          </w:rPr>
          <w:t xml:space="preserve">aboutus.godaddy.net</w:t>
        </w:r>
      </w:hyperlink>
      <w:r>
        <w:t xml:space="preserve">)</w:t>
      </w:r>
    </w:p>
    <w:p>
      <w:pPr>
        <w:pStyle w:val="BodyText"/>
      </w:pPr>
      <w:r>
        <w:rPr>
          <w:b/>
          <w:bCs/>
        </w:rPr>
        <w:t xml:space="preserve">Why it matters:</w:t>
      </w:r>
      <w:r>
        <w:t xml:space="preserve"> </w:t>
      </w:r>
      <w:r>
        <w:t xml:space="preserve">Revenue is recurring and recognized over subscription terms; bookings are the earlier indicator of demand, pricing, attach, and future revenue growth. A revenue beat paired with another weak bookings print would likely be viewed less favorably than a modest revenue beat with clear bookings acceleration.</w:t>
      </w:r>
    </w:p>
    <w:bookmarkEnd w:id="13"/>
    <w:bookmarkStart w:id="21" w:name="what-investors-should-watch"/>
    <w:p>
      <w:pPr>
        <w:pStyle w:val="Heading2"/>
      </w:pPr>
      <w:r>
        <w:t xml:space="preserve">What investors should watch</w:t>
      </w:r>
    </w:p>
    <w:bookmarkStart w:id="15" w:name="X2d93d9ef74d7fa1ba61303f2a857c7c3926c4cd"/>
    <w:p>
      <w:pPr>
        <w:pStyle w:val="Heading3"/>
      </w:pPr>
      <w:r>
        <w:t xml:space="preserve">1. A&amp;C growth and the quality of AI monetization</w:t>
      </w:r>
    </w:p>
    <w:p>
      <w:pPr>
        <w:pStyle w:val="FirstParagraph"/>
      </w:pPr>
      <w:r>
        <w:t xml:space="preserve">Applications &amp; Commerce is the most important growth segment. In 1Q, A&amp;C revenue grew</w:t>
      </w:r>
      <w:r>
        <w:t xml:space="preserve"> </w:t>
      </w:r>
      <w:r>
        <w:rPr>
          <w:b/>
          <w:bCs/>
        </w:rPr>
        <w:t xml:space="preserve">12%</w:t>
      </w:r>
      <w:r>
        <w:t xml:space="preserve"> </w:t>
      </w:r>
      <w:r>
        <w:t xml:space="preserve">to</w:t>
      </w:r>
      <w:r>
        <w:t xml:space="preserve"> </w:t>
      </w:r>
      <w:r>
        <w:rPr>
          <w:b/>
          <w:bCs/>
        </w:rPr>
        <w:t xml:space="preserve">$498M</w:t>
      </w:r>
      <w:r>
        <w:t xml:space="preserve">, versus</w:t>
      </w:r>
      <w:r>
        <w:t xml:space="preserve"> </w:t>
      </w:r>
      <w:r>
        <w:rPr>
          <w:b/>
          <w:bCs/>
        </w:rPr>
        <w:t xml:space="preserve">3%</w:t>
      </w:r>
      <w:r>
        <w:t xml:space="preserve"> </w:t>
      </w:r>
      <w:r>
        <w:t xml:space="preserve">growth in Core Platform revenue. A&amp;C also carried a</w:t>
      </w:r>
      <w:r>
        <w:t xml:space="preserve"> </w:t>
      </w:r>
      <w:r>
        <w:rPr>
          <w:b/>
          <w:bCs/>
        </w:rPr>
        <w:t xml:space="preserve">45.2% segment EBITDA margin</w:t>
      </w:r>
      <w:r>
        <w:t xml:space="preserve">, illustrating why mix shift toward subscriptions, commerce, and higher-value tools matters disproportionately for the earnings model. (</w:t>
      </w:r>
      <w:hyperlink r:id="rId11">
        <w:r>
          <w:rPr>
            <w:rStyle w:val="Hyperlink"/>
          </w:rPr>
          <w:t xml:space="preserve">aboutus.godaddy.net</w:t>
        </w:r>
      </w:hyperlink>
      <w:r>
        <w:t xml:space="preserve">)</w:t>
      </w:r>
    </w:p>
    <w:p>
      <w:pPr>
        <w:pStyle w:val="BodyText"/>
      </w:pPr>
      <w:r>
        <w:t xml:space="preserve">The central questions for the call:</w:t>
      </w:r>
    </w:p>
    <w:p>
      <w:pPr>
        <w:pStyle w:val="Compact"/>
        <w:numPr>
          <w:ilvl w:val="0"/>
          <w:numId w:val="1001"/>
        </w:numPr>
      </w:pPr>
      <w:r>
        <w:t xml:space="preserve">Is Airo AI Builder’s early monetization holding as paid marketing ramps?</w:t>
      </w:r>
    </w:p>
    <w:p>
      <w:pPr>
        <w:pStyle w:val="Compact"/>
        <w:numPr>
          <w:ilvl w:val="0"/>
          <w:numId w:val="1001"/>
        </w:numPr>
      </w:pPr>
      <w:r>
        <w:t xml:space="preserve">Are newer cohorts attaching a second product more quickly than legacy cohorts?</w:t>
      </w:r>
    </w:p>
    <w:p>
      <w:pPr>
        <w:pStyle w:val="Compact"/>
        <w:numPr>
          <w:ilvl w:val="0"/>
          <w:numId w:val="1001"/>
        </w:numPr>
      </w:pPr>
      <w:r>
        <w:t xml:space="preserve">Does Airo drive incremental spend and retention, or merely shift users among existing site-building products?</w:t>
      </w:r>
    </w:p>
    <w:p>
      <w:pPr>
        <w:pStyle w:val="Compact"/>
        <w:numPr>
          <w:ilvl w:val="0"/>
          <w:numId w:val="1001"/>
        </w:numPr>
      </w:pPr>
      <w:r>
        <w:t xml:space="preserve">Are credit purchases and subscriptions proving economically attractive after compute costs?</w:t>
      </w:r>
    </w:p>
    <w:p>
      <w:pPr>
        <w:pStyle w:val="Compact"/>
        <w:numPr>
          <w:ilvl w:val="0"/>
          <w:numId w:val="1001"/>
        </w:numPr>
      </w:pPr>
      <w:r>
        <w:t xml:space="preserve">Is GoDaddy seeing enough product-market fit to expand distribution through its large domains funnel?</w:t>
      </w:r>
    </w:p>
    <w:p>
      <w:pPr>
        <w:pStyle w:val="FirstParagraph"/>
      </w:pPr>
      <w:r>
        <w:t xml:space="preserve">GoDaddy has continued to expand the Airo product family, including</w:t>
      </w:r>
      <w:r>
        <w:t xml:space="preserve"> </w:t>
      </w:r>
      <w:r>
        <w:rPr>
          <w:b/>
          <w:bCs/>
        </w:rPr>
        <w:t xml:space="preserve">Airo for WordPress</w:t>
      </w:r>
      <w:r>
        <w:t xml:space="preserve">, launched in May. The product aims to combine conversational AI site creation and ongoing editing inside the WordPress environment, while also using GoDaddy’s managed infrastructure and commerce capabilities. (</w:t>
      </w:r>
      <w:hyperlink r:id="rId14">
        <w:r>
          <w:rPr>
            <w:rStyle w:val="Hyperlink"/>
          </w:rPr>
          <w:t xml:space="preserve">aboutus.godaddy.net</w:t>
        </w:r>
      </w:hyperlink>
      <w:r>
        <w:t xml:space="preserve">)</w:t>
      </w:r>
    </w:p>
    <w:bookmarkEnd w:id="15"/>
    <w:bookmarkStart w:id="16" w:name="Xccd0f077fde3042730efcb9cab8fadc4c7b989e"/>
    <w:p>
      <w:pPr>
        <w:pStyle w:val="Heading3"/>
      </w:pPr>
      <w:r>
        <w:t xml:space="preserve">2. The margin/investment trade-off</w:t>
      </w:r>
    </w:p>
    <w:p>
      <w:pPr>
        <w:pStyle w:val="FirstParagraph"/>
      </w:pPr>
      <w:r>
        <w:t xml:space="preserve">The company produced a 32.6% normalized EBITDA margin in 1Q, up 210 basis points year over year, despite actively investing in AI-native products. Free cash flow grew 15% to $474M. (</w:t>
      </w:r>
      <w:hyperlink r:id="rId11">
        <w:r>
          <w:rPr>
            <w:rStyle w:val="Hyperlink"/>
          </w:rPr>
          <w:t xml:space="preserve">aboutus.godaddy.net</w:t>
        </w:r>
      </w:hyperlink>
      <w:r>
        <w:t xml:space="preserve">)</w:t>
      </w:r>
    </w:p>
    <w:p>
      <w:pPr>
        <w:pStyle w:val="BodyText"/>
      </w:pPr>
      <w:r>
        <w:t xml:space="preserve">For 2Q, the question is whether new paid marketing for Airo and AI-compute costs remain contained enough to preserve the approximately 33% margin guide. A</w:t>
      </w:r>
      <w:r>
        <w:t xml:space="preserve"> </w:t>
      </w:r>
      <w:r>
        <w:rPr>
          <w:b/>
          <w:bCs/>
        </w:rPr>
        <w:t xml:space="preserve">beat on margin</w:t>
      </w:r>
      <w:r>
        <w:t xml:space="preserve"> </w:t>
      </w:r>
      <w:r>
        <w:t xml:space="preserve">would reinforce the idea that internal AI productivity, product mix, and operating discipline can fund growth investment. Conversely, an in-line revenue result with margin pressure could spark concern that AI monetization is arriving more slowly than the associated investment.</w:t>
      </w:r>
    </w:p>
    <w:bookmarkEnd w:id="16"/>
    <w:bookmarkStart w:id="17" w:name="X2679f5328ad4be6e457ad4d5ee28b30aeb41209"/>
    <w:p>
      <w:pPr>
        <w:pStyle w:val="Heading3"/>
      </w:pPr>
      <w:r>
        <w:t xml:space="preserve">3. Core Platform resilience</w:t>
      </w:r>
    </w:p>
    <w:p>
      <w:pPr>
        <w:pStyle w:val="FirstParagraph"/>
      </w:pPr>
      <w:r>
        <w:t xml:space="preserve">Core Platform grew only 3% in 1Q, with primary-domains growth partly offset by non-core hosting softness, the .CO registry expiration, and tougher aftermarket comparisons. (</w:t>
      </w:r>
      <w:hyperlink r:id="rId11">
        <w:r>
          <w:rPr>
            <w:rStyle w:val="Hyperlink"/>
          </w:rPr>
          <w:t xml:space="preserve">aboutus.godaddy.net</w:t>
        </w:r>
      </w:hyperlink>
      <w:r>
        <w:t xml:space="preserve">)</w:t>
      </w:r>
    </w:p>
    <w:p>
      <w:pPr>
        <w:pStyle w:val="BodyText"/>
      </w:pPr>
      <w:r>
        <w:t xml:space="preserve">Core does not need to become a growth engine for the stock to work, but it must remain a stable cash-generating distribution asset. Investors should listen for:</w:t>
      </w:r>
    </w:p>
    <w:p>
      <w:pPr>
        <w:pStyle w:val="Compact"/>
        <w:numPr>
          <w:ilvl w:val="0"/>
          <w:numId w:val="1002"/>
        </w:numPr>
      </w:pPr>
      <w:r>
        <w:t xml:space="preserve">Primary-domain registration and renewal trends;</w:t>
      </w:r>
    </w:p>
    <w:p>
      <w:pPr>
        <w:pStyle w:val="Compact"/>
        <w:numPr>
          <w:ilvl w:val="0"/>
          <w:numId w:val="1002"/>
        </w:numPr>
      </w:pPr>
      <w:r>
        <w:t xml:space="preserve">Customer conversion from domains into A&amp;C products;</w:t>
      </w:r>
    </w:p>
    <w:p>
      <w:pPr>
        <w:pStyle w:val="Compact"/>
        <w:numPr>
          <w:ilvl w:val="0"/>
          <w:numId w:val="1002"/>
        </w:numPr>
      </w:pPr>
      <w:r>
        <w:t xml:space="preserve">Hosting stabilization;</w:t>
      </w:r>
    </w:p>
    <w:p>
      <w:pPr>
        <w:pStyle w:val="Compact"/>
        <w:numPr>
          <w:ilvl w:val="0"/>
          <w:numId w:val="1002"/>
        </w:numPr>
      </w:pPr>
      <w:r>
        <w:t xml:space="preserve">The effect of changes in search and AI-driven discovery on top-of-funnel traffic; and</w:t>
      </w:r>
    </w:p>
    <w:p>
      <w:pPr>
        <w:pStyle w:val="Compact"/>
        <w:numPr>
          <w:ilvl w:val="0"/>
          <w:numId w:val="1002"/>
        </w:numPr>
      </w:pPr>
      <w:r>
        <w:t xml:space="preserve">Whether GoDaddy’s focus on “high-intent” customers continues to support ARPU growth even if total customer counts are flat.</w:t>
      </w:r>
    </w:p>
    <w:p>
      <w:pPr>
        <w:pStyle w:val="FirstParagraph"/>
      </w:pPr>
      <w:r>
        <w:t xml:space="preserve">In 1Q, ARPU rose 9% to $246, while total customers were roughly flat at 20.4 million. That combination—monetization and attach rather than raw customer-count growth—is a defining feature of the current strategy. (</w:t>
      </w:r>
      <w:hyperlink r:id="rId11">
        <w:r>
          <w:rPr>
            <w:rStyle w:val="Hyperlink"/>
          </w:rPr>
          <w:t xml:space="preserve">aboutus.godaddy.net</w:t>
        </w:r>
      </w:hyperlink>
      <w:r>
        <w:t xml:space="preserve">)</w:t>
      </w:r>
    </w:p>
    <w:bookmarkEnd w:id="17"/>
    <w:bookmarkStart w:id="18" w:name="Xca17984a2dd08a2c62310c606ae26b48f397494"/>
    <w:p>
      <w:pPr>
        <w:pStyle w:val="Heading3"/>
      </w:pPr>
      <w:r>
        <w:t xml:space="preserve">4. FY26 guidance: re-affirmation is likely the minimum acceptable outcome</w:t>
      </w:r>
    </w:p>
    <w:p>
      <w:pPr>
        <w:pStyle w:val="FirstParagraph"/>
      </w:pPr>
      <w:r>
        <w:t xml:space="preserve">At the full-year revenue midpoint, GoDaddy would need approximately</w:t>
      </w:r>
      <w:r>
        <w:t xml:space="preserve"> </w:t>
      </w:r>
      <w:r>
        <w:rPr>
          <w:b/>
          <w:bCs/>
        </w:rPr>
        <w:t xml:space="preserve">$2.67B</w:t>
      </w:r>
      <w:r>
        <w:t xml:space="preserve"> </w:t>
      </w:r>
      <w:r>
        <w:t xml:space="preserve">of second-half revenue after combining 1Q actual revenue with the 2Q guide midpoint. That implies roughly</w:t>
      </w:r>
      <w:r>
        <w:t xml:space="preserve"> </w:t>
      </w:r>
      <w:r>
        <w:rPr>
          <w:b/>
          <w:bCs/>
        </w:rPr>
        <w:t xml:space="preserve">5.3% YoY growth</w:t>
      </w:r>
      <w:r>
        <w:t xml:space="preserve"> </w:t>
      </w:r>
      <w:r>
        <w:t xml:space="preserve">in the second half—achievable, but dependent on bookings normalization and continued low-double-digit A&amp;C growth. (</w:t>
      </w:r>
      <w:hyperlink r:id="rId11">
        <w:r>
          <w:rPr>
            <w:rStyle w:val="Hyperlink"/>
          </w:rPr>
          <w:t xml:space="preserve">aboutus.godaddy.net</w:t>
        </w:r>
      </w:hyperlink>
      <w:r>
        <w:t xml:space="preserve">)</w:t>
      </w:r>
    </w:p>
    <w:p>
      <w:pPr>
        <w:pStyle w:val="BodyText"/>
      </w:pPr>
      <w:r>
        <w:t xml:space="preserve">A reaffirmation of FY26 targets should be expected. The more bullish outcome would be management expressing greater confidence in the second-half bookings trajectory, Airo marketing returns, or the ability to exceed the &gt;33% normalized EBITDA margin target. A guide cut would be particularly negative because the existing outlook already embeds only mid-single-digit growth.</w:t>
      </w:r>
    </w:p>
    <w:bookmarkEnd w:id="18"/>
    <w:bookmarkStart w:id="20" w:name="X5ff279b0d1355b1afafa705972da20f748161a4"/>
    <w:p>
      <w:pPr>
        <w:pStyle w:val="Heading3"/>
      </w:pPr>
      <w:r>
        <w:t xml:space="preserve">5. AI and ANS: strategic optionality, not near-term earnings</w:t>
      </w:r>
    </w:p>
    <w:p>
      <w:pPr>
        <w:pStyle w:val="FirstParagraph"/>
      </w:pPr>
      <w:r>
        <w:t xml:space="preserve">GoDaddy’s Agent Name Service (ANS) is strategically interesting because it seeks to extend the relevance of domains into AI-agent identity, verification, and discovery. The company has announced partnerships with LegalZoom and Cloudflare; Cloudflare is integrating AI Crawl Control into GoDaddy’s hosting platform, while both companies support standards for agent identity. (</w:t>
      </w:r>
      <w:hyperlink r:id="rId19">
        <w:r>
          <w:rPr>
            <w:rStyle w:val="Hyperlink"/>
          </w:rPr>
          <w:t xml:space="preserve">aboutus.godaddy.net</w:t>
        </w:r>
      </w:hyperlink>
      <w:r>
        <w:t xml:space="preserve">)</w:t>
      </w:r>
    </w:p>
    <w:p>
      <w:pPr>
        <w:pStyle w:val="BodyText"/>
      </w:pPr>
      <w:r>
        <w:t xml:space="preserve">For this quarter, ANS is unlikely to be a material financial contributor. Investors should treat it as</w:t>
      </w:r>
      <w:r>
        <w:t xml:space="preserve"> </w:t>
      </w:r>
      <w:r>
        <w:rPr>
          <w:b/>
          <w:bCs/>
        </w:rPr>
        <w:t xml:space="preserve">longer-duration optionality</w:t>
      </w:r>
      <w:r>
        <w:t xml:space="preserve">. The relevant signals are adoption, third-party integrations, usage by non-GoDaddy agents, and evidence that the standard can become meaningful rather than simply a product announcement.</w:t>
      </w:r>
    </w:p>
    <w:bookmarkEnd w:id="20"/>
    <w:bookmarkEnd w:id="21"/>
    <w:bookmarkStart w:id="25" w:name="bull-base-and-bear-reads"/>
    <w:p>
      <w:pPr>
        <w:pStyle w:val="Heading2"/>
      </w:pPr>
      <w:r>
        <w:t xml:space="preserve">Bull, base, and bear reads</w:t>
      </w:r>
    </w:p>
    <w:bookmarkStart w:id="22" w:name="bull-case"/>
    <w:p>
      <w:pPr>
        <w:pStyle w:val="Heading3"/>
      </w:pPr>
      <w:r>
        <w:t xml:space="preserve">Bull case</w:t>
      </w:r>
    </w:p>
    <w:p>
      <w:pPr>
        <w:pStyle w:val="Compact"/>
        <w:numPr>
          <w:ilvl w:val="0"/>
          <w:numId w:val="1003"/>
        </w:numPr>
      </w:pPr>
      <w:r>
        <w:t xml:space="preserve">Revenue lands at or above the high end of guidance.</w:t>
      </w:r>
    </w:p>
    <w:p>
      <w:pPr>
        <w:pStyle w:val="Compact"/>
        <w:numPr>
          <w:ilvl w:val="0"/>
          <w:numId w:val="1003"/>
        </w:numPr>
      </w:pPr>
      <w:r>
        <w:t xml:space="preserve">Bookings reaccelerate to at least revenue-like growth.</w:t>
      </w:r>
    </w:p>
    <w:p>
      <w:pPr>
        <w:pStyle w:val="Compact"/>
        <w:numPr>
          <w:ilvl w:val="0"/>
          <w:numId w:val="1003"/>
        </w:numPr>
      </w:pPr>
      <w:r>
        <w:t xml:space="preserve">A&amp;C remains low-double-digit or better, with constructive Airo marketing and attach commentary.</w:t>
      </w:r>
    </w:p>
    <w:p>
      <w:pPr>
        <w:pStyle w:val="Compact"/>
        <w:numPr>
          <w:ilvl w:val="0"/>
          <w:numId w:val="1003"/>
        </w:numPr>
      </w:pPr>
      <w:r>
        <w:t xml:space="preserve">Normalized EBITDA margin exceeds 33% despite investment.</w:t>
      </w:r>
    </w:p>
    <w:p>
      <w:pPr>
        <w:pStyle w:val="Compact"/>
        <w:numPr>
          <w:ilvl w:val="0"/>
          <w:numId w:val="1003"/>
        </w:numPr>
      </w:pPr>
      <w:r>
        <w:t xml:space="preserve">FY26 guidance is reiterated or subtly de-risked through stronger second-half commentary.</w:t>
      </w:r>
    </w:p>
    <w:p>
      <w:pPr>
        <w:pStyle w:val="Compact"/>
        <w:numPr>
          <w:ilvl w:val="0"/>
          <w:numId w:val="1003"/>
        </w:numPr>
      </w:pPr>
      <w:r>
        <w:t xml:space="preserve">Free-cash-flow conversion remains robust and buybacks continue.</w:t>
      </w:r>
    </w:p>
    <w:bookmarkEnd w:id="22"/>
    <w:bookmarkStart w:id="23" w:name="base-case"/>
    <w:p>
      <w:pPr>
        <w:pStyle w:val="Heading3"/>
      </w:pPr>
      <w:r>
        <w:t xml:space="preserve">Base case</w:t>
      </w:r>
    </w:p>
    <w:p>
      <w:pPr>
        <w:pStyle w:val="Compact"/>
        <w:numPr>
          <w:ilvl w:val="0"/>
          <w:numId w:val="1004"/>
        </w:numPr>
      </w:pPr>
      <w:r>
        <w:t xml:space="preserve">Revenue and normalized EBITDA are around the midpoint of guidance.</w:t>
      </w:r>
    </w:p>
    <w:p>
      <w:pPr>
        <w:pStyle w:val="Compact"/>
        <w:numPr>
          <w:ilvl w:val="0"/>
          <w:numId w:val="1004"/>
        </w:numPr>
      </w:pPr>
      <w:r>
        <w:t xml:space="preserve">A&amp;C stays healthy; Core remains low-single-digit.</w:t>
      </w:r>
    </w:p>
    <w:p>
      <w:pPr>
        <w:pStyle w:val="Compact"/>
        <w:numPr>
          <w:ilvl w:val="0"/>
          <w:numId w:val="1004"/>
        </w:numPr>
      </w:pPr>
      <w:r>
        <w:t xml:space="preserve">Bookings improve from 1Q but do not materially exceed revenue growth.</w:t>
      </w:r>
    </w:p>
    <w:p>
      <w:pPr>
        <w:pStyle w:val="Compact"/>
        <w:numPr>
          <w:ilvl w:val="0"/>
          <w:numId w:val="1004"/>
        </w:numPr>
      </w:pPr>
      <w:r>
        <w:t xml:space="preserve">FY26 guidance is simply reaffirmed.</w:t>
      </w:r>
    </w:p>
    <w:p>
      <w:pPr>
        <w:pStyle w:val="Compact"/>
        <w:numPr>
          <w:ilvl w:val="0"/>
          <w:numId w:val="1004"/>
        </w:numPr>
      </w:pPr>
      <w:r>
        <w:t xml:space="preserve">Management maintains an encouraging but still qualitative tone on Airo adoption and monetization.</w:t>
      </w:r>
    </w:p>
    <w:bookmarkEnd w:id="23"/>
    <w:bookmarkStart w:id="24" w:name="bear-case"/>
    <w:p>
      <w:pPr>
        <w:pStyle w:val="Heading3"/>
      </w:pPr>
      <w:r>
        <w:t xml:space="preserve">Bear case</w:t>
      </w:r>
    </w:p>
    <w:p>
      <w:pPr>
        <w:pStyle w:val="Compact"/>
        <w:numPr>
          <w:ilvl w:val="0"/>
          <w:numId w:val="1005"/>
        </w:numPr>
      </w:pPr>
      <w:r>
        <w:t xml:space="preserve">Bookings remain materially below revenue growth, indicating that 1Q was not the trough.</w:t>
      </w:r>
    </w:p>
    <w:p>
      <w:pPr>
        <w:pStyle w:val="Compact"/>
        <w:numPr>
          <w:ilvl w:val="0"/>
          <w:numId w:val="1005"/>
        </w:numPr>
      </w:pPr>
      <w:r>
        <w:t xml:space="preserve">Airo marketing raises customer-acquisition cost or creates cannibalization without incremental monetization.</w:t>
      </w:r>
    </w:p>
    <w:p>
      <w:pPr>
        <w:pStyle w:val="Compact"/>
        <w:numPr>
          <w:ilvl w:val="0"/>
          <w:numId w:val="1005"/>
        </w:numPr>
      </w:pPr>
      <w:r>
        <w:t xml:space="preserve">Core weakness broadens beyond known .CO and aftermarket effects.</w:t>
      </w:r>
    </w:p>
    <w:p>
      <w:pPr>
        <w:pStyle w:val="Compact"/>
        <w:numPr>
          <w:ilvl w:val="0"/>
          <w:numId w:val="1005"/>
        </w:numPr>
      </w:pPr>
      <w:r>
        <w:t xml:space="preserve">AI investment or compute expense pressures margin below the ~33% target.</w:t>
      </w:r>
    </w:p>
    <w:p>
      <w:pPr>
        <w:pStyle w:val="Compact"/>
        <w:numPr>
          <w:ilvl w:val="0"/>
          <w:numId w:val="1005"/>
        </w:numPr>
      </w:pPr>
      <w:r>
        <w:t xml:space="preserve">Management becomes less confident in the second-half bookings inflection or FY26 free-cash-flow target.</w:t>
      </w:r>
    </w:p>
    <w:bookmarkEnd w:id="24"/>
    <w:bookmarkEnd w:id="25"/>
    <w:bookmarkStart w:id="26" w:name="key-questions-for-the-call"/>
    <w:p>
      <w:pPr>
        <w:pStyle w:val="Heading2"/>
      </w:pPr>
      <w:r>
        <w:t xml:space="preserve">Key questions for the call</w:t>
      </w:r>
    </w:p>
    <w:p>
      <w:pPr>
        <w:pStyle w:val="Compact"/>
        <w:numPr>
          <w:ilvl w:val="0"/>
          <w:numId w:val="1006"/>
        </w:numPr>
      </w:pPr>
      <w:r>
        <w:rPr>
          <w:b/>
          <w:bCs/>
        </w:rPr>
        <w:t xml:space="preserve">Did bookings return to revenue parity in 2Q, as management previously indicated should happen after 1Q?</w:t>
      </w:r>
    </w:p>
    <w:p>
      <w:pPr>
        <w:pStyle w:val="Compact"/>
        <w:numPr>
          <w:ilvl w:val="0"/>
          <w:numId w:val="1006"/>
        </w:numPr>
      </w:pPr>
      <w:r>
        <w:rPr>
          <w:b/>
          <w:bCs/>
        </w:rPr>
        <w:t xml:space="preserve">How much incremental demand is Airo AI Builder generating after paid marketing began, versus migration from existing products?</w:t>
      </w:r>
    </w:p>
    <w:p>
      <w:pPr>
        <w:pStyle w:val="Compact"/>
        <w:numPr>
          <w:ilvl w:val="0"/>
          <w:numId w:val="1006"/>
        </w:numPr>
      </w:pPr>
      <w:r>
        <w:rPr>
          <w:b/>
          <w:bCs/>
        </w:rPr>
        <w:t xml:space="preserve">What are the unit economics of Airo—subscription conversion, credit consumption, retention, gross margin, and customer-acquisition payback?</w:t>
      </w:r>
    </w:p>
    <w:p>
      <w:pPr>
        <w:pStyle w:val="Compact"/>
        <w:numPr>
          <w:ilvl w:val="0"/>
          <w:numId w:val="1006"/>
        </w:numPr>
      </w:pPr>
      <w:r>
        <w:rPr>
          <w:b/>
          <w:bCs/>
        </w:rPr>
        <w:t xml:space="preserve">Is the upgraded Websites + Marketing experience gaining enough traction to support broader rollout through domains funnels?</w:t>
      </w:r>
    </w:p>
    <w:p>
      <w:pPr>
        <w:pStyle w:val="Compact"/>
        <w:numPr>
          <w:ilvl w:val="0"/>
          <w:numId w:val="1006"/>
        </w:numPr>
      </w:pPr>
      <w:r>
        <w:rPr>
          <w:b/>
          <w:bCs/>
        </w:rPr>
        <w:t xml:space="preserve">How much of the 1Q Core Platform pressure has now rolled off, and what remains structural?</w:t>
      </w:r>
    </w:p>
    <w:p>
      <w:pPr>
        <w:pStyle w:val="Compact"/>
        <w:numPr>
          <w:ilvl w:val="0"/>
          <w:numId w:val="1006"/>
        </w:numPr>
      </w:pPr>
      <w:r>
        <w:rPr>
          <w:b/>
          <w:bCs/>
        </w:rPr>
        <w:t xml:space="preserve">Can GoDaddy continue to invest in AI while holding or expanding normalized EBITDA margin above 33%?</w:t>
      </w:r>
    </w:p>
    <w:p>
      <w:pPr>
        <w:pStyle w:val="Compact"/>
        <w:numPr>
          <w:ilvl w:val="0"/>
          <w:numId w:val="1006"/>
        </w:numPr>
      </w:pPr>
      <w:r>
        <w:rPr>
          <w:b/>
          <w:bCs/>
        </w:rPr>
        <w:t xml:space="preserve">Does management see ANS as primarily a domain-defense initiative, a monetizable infrastructure product, or both?</w:t>
      </w:r>
    </w:p>
    <w:p>
      <w:pPr>
        <w:pStyle w:val="Compact"/>
        <w:numPr>
          <w:ilvl w:val="0"/>
          <w:numId w:val="1006"/>
        </w:numPr>
      </w:pPr>
      <w:r>
        <w:rPr>
          <w:b/>
          <w:bCs/>
        </w:rPr>
        <w:t xml:space="preserve">What is the expected pace of buybacks through the remainder of 2026?</w:t>
      </w:r>
    </w:p>
    <w:bookmarkEnd w:id="26"/>
    <w:bookmarkStart w:id="27" w:name="investment-framing"/>
    <w:p>
      <w:pPr>
        <w:pStyle w:val="Heading2"/>
      </w:pPr>
      <w:r>
        <w:t xml:space="preserve">Investment framing</w:t>
      </w:r>
    </w:p>
    <w:p>
      <w:pPr>
        <w:pStyle w:val="FirstParagraph"/>
      </w:pPr>
      <w:r>
        <w:t xml:space="preserve">GoDaddy remains a</w:t>
      </w:r>
      <w:r>
        <w:t xml:space="preserve"> </w:t>
      </w:r>
      <w:r>
        <w:rPr>
          <w:b/>
          <w:bCs/>
        </w:rPr>
        <w:t xml:space="preserve">cash-compounding, margin-expanding platform story with an AI-led growth option</w:t>
      </w:r>
      <w:r>
        <w:t xml:space="preserve">. The near-term catalyst is not a dramatic acceleration in reported revenue; it is confirmation that bookings recover as expected, that A&amp;C sustains double-digit growth, and that AI product investment can be absorbed within the company’s existing margin and free-cash-flow framework.</w:t>
      </w:r>
    </w:p>
    <w:p>
      <w:pPr>
        <w:pStyle w:val="BodyText"/>
      </w:pPr>
      <w:r>
        <w:t xml:space="preserve">For the July 30 report, the most important scoreboard is:</w:t>
      </w:r>
    </w:p>
    <w:p>
      <w:pPr>
        <w:pStyle w:val="BlockText"/>
      </w:pPr>
      <w:r>
        <w:rPr>
          <w:b/>
          <w:bCs/>
        </w:rPr>
        <w:t xml:space="preserve">Bookings acceleration + A&amp;C durability + ~33% margin + intact FY26 free-cash-flow outlook.</w:t>
      </w:r>
    </w:p>
    <w:p>
      <w:pPr>
        <w:pStyle w:val="FirstParagraph"/>
      </w:pPr>
      <w:r>
        <w:t xml:space="preserve">A clean result across those items would strengthen the case that 2026 is a temporary growth-reset year rather than the beginning of a more durable slowdown.</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aboutus.godaddy.net/files/doc_financials/2026/q1/GDDY-Q1-2026-Earnings-Release.pdf" TargetMode="External" /><Relationship Type="http://schemas.openxmlformats.org/officeDocument/2006/relationships/hyperlink" Id="rId19" Target="https://aboutus.godaddy.net/newsroom/news-releases/press-release-details/2026/Cloudflare-and-GoDaddy-Partner-to-Help-Enable-an-Open-Agentic-Web/default.aspx" TargetMode="External" /><Relationship Type="http://schemas.openxmlformats.org/officeDocument/2006/relationships/hyperlink" Id="rId9" Target="https://aboutus.godaddy.net/newsroom/news-releases/press-release-details/2026/GoDaddy-Inc--to-Announce-Second-Quarter-2026-Financial-Results-on-Thursday-July-30-2026/default.aspx" TargetMode="External" /><Relationship Type="http://schemas.openxmlformats.org/officeDocument/2006/relationships/hyperlink" Id="rId14" Target="https://aboutus.godaddy.net/newsroom/news-releases/press-release-details/2026/GoDaddys-Airo-for-WordPress-Delivers-AI-that-Builds-Grows-and-Continuously-Improves-Websites/default.aspx" TargetMode="External" /></Relationships>
</file>

<file path=word/_rels/footnotes.xml.rels><?xml version="1.0" encoding="UTF-8"?><Relationships xmlns="http://schemas.openxmlformats.org/package/2006/relationships"><Relationship Type="http://schemas.openxmlformats.org/officeDocument/2006/relationships/hyperlink" Id="rId11" Target="https://aboutus.godaddy.net/files/doc_financials/2026/q1/GDDY-Q1-2026-Earnings-Release.pdf" TargetMode="External" /><Relationship Type="http://schemas.openxmlformats.org/officeDocument/2006/relationships/hyperlink" Id="rId19" Target="https://aboutus.godaddy.net/newsroom/news-releases/press-release-details/2026/Cloudflare-and-GoDaddy-Partner-to-Help-Enable-an-Open-Agentic-Web/default.aspx" TargetMode="External" /><Relationship Type="http://schemas.openxmlformats.org/officeDocument/2006/relationships/hyperlink" Id="rId9" Target="https://aboutus.godaddy.net/newsroom/news-releases/press-release-details/2026/GoDaddy-Inc--to-Announce-Second-Quarter-2026-Financial-Results-on-Thursday-July-30-2026/default.aspx" TargetMode="External" /><Relationship Type="http://schemas.openxmlformats.org/officeDocument/2006/relationships/hyperlink" Id="rId14" Target="https://aboutus.godaddy.net/newsroom/news-releases/press-release-details/2026/GoDaddys-Airo-for-WordPress-Delivers-AI-that-Builds-Grows-and-Continuously-Improves-Websites/defaul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2026-07-29T19:33:47Z</dcterms:created>
  <dcterms:modified xsi:type="dcterms:W3CDTF">2026-07-29T19:33:47Z</dcterms:modified>
</cp:coreProperties>
</file>

<file path=docProps/custom.xml><?xml version="1.0" encoding="utf-8"?>
<Properties xmlns="http://schemas.openxmlformats.org/officeDocument/2006/custom-properties" xmlns:vt="http://schemas.openxmlformats.org/officeDocument/2006/docPropsVTypes"/>
</file>