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GoDaddy Inc. (GDDY) — Q2 2026 Earnings Preview</w:t>
      </w:r>
    </w:p>
    <w:p>
      <w:r>
        <w:rPr>
          <w:rFonts w:ascii="Calibri" w:hAnsi="Calibri"/>
          <w:b/>
          <w:color w:val="525866"/>
          <w:sz w:val="22"/>
        </w:rPr>
        <w:t xml:space="preserve">Reporting Date: </w:t>
      </w:r>
      <w:r>
        <w:rPr>
          <w:rFonts w:ascii="Calibri" w:hAnsi="Calibri"/>
          <w:color w:val="525866"/>
          <w:sz w:val="22"/>
        </w:rPr>
        <w:t xml:space="preserve">July 30, 2026  </w:t>
      </w:r>
      <w:r>
        <w:rPr>
          <w:rFonts w:ascii="Calibri" w:hAnsi="Calibri"/>
          <w:b/>
          <w:color w:val="525866"/>
          <w:sz w:val="22"/>
        </w:rPr>
        <w:t xml:space="preserve">| Prepared: </w:t>
      </w:r>
      <w:r>
        <w:rPr>
          <w:rFonts w:ascii="Calibri" w:hAnsi="Calibri"/>
          <w:color w:val="525866"/>
          <w:sz w:val="22"/>
        </w:rPr>
        <w:t xml:space="preserve">July 29, 2026  </w:t>
      </w:r>
      <w:r>
        <w:rPr>
          <w:rFonts w:ascii="Calibri" w:hAnsi="Calibri"/>
          <w:b/>
          <w:color w:val="525866"/>
          <w:sz w:val="22"/>
        </w:rPr>
        <w:t xml:space="preserve">| Last Earnings: </w:t>
      </w:r>
      <w:r>
        <w:rPr>
          <w:rFonts w:ascii="Calibri" w:hAnsi="Calibri"/>
          <w:color w:val="525866"/>
          <w:sz w:val="22"/>
        </w:rPr>
        <w:t>April 30, 2026 (Q1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modestly constructive — consensus sits near the midpoint of guidance, GDDY has beaten EPS in each of the last eight quarters, and the bookings-to-revenue convergence management flagged for Q2 is the single biggest swing factor.</w:t>
      </w:r>
    </w:p>
    <w:p>
      <w:r>
        <w:rPr>
          <w:rFonts w:ascii="Calibri" w:hAnsi="Calibri"/>
          <w:color w:val="525866"/>
          <w:sz w:val="22"/>
        </w:rPr>
        <w:t xml:space="preserve">Heading into the Q2 2026 print, the bar looks achievable but not easy: consensus revenue of ~$1.295B sits squarely at the midpoint of the $1.285–$1.305B guidance range, leaving limited room for a top-line beat unless </w:t>
      </w:r>
      <w:r>
        <w:rPr>
          <w:rFonts w:ascii="Calibri" w:hAnsi="Calibri"/>
          <w:b/>
          <w:color w:val="525866"/>
          <w:sz w:val="22"/>
        </w:rPr>
        <w:t>Airo AI Builder marketing spend</w:t>
      </w:r>
      <w:r>
        <w:rPr>
          <w:rFonts w:ascii="Calibri" w:hAnsi="Calibri"/>
          <w:color w:val="525866"/>
          <w:sz w:val="22"/>
        </w:rPr>
        <w:t xml:space="preserve"> (ramping in Q2 for the first time) drives incremental bookings faster than expected. Management explicitly guided that Q1 was the </w:t>
      </w:r>
      <w:r>
        <w:rPr>
          <w:rFonts w:ascii="Calibri" w:hAnsi="Calibri"/>
          <w:b/>
          <w:color w:val="525866"/>
          <w:sz w:val="22"/>
        </w:rPr>
        <w:t>peak headwind quarter</w:t>
      </w:r>
      <w:r>
        <w:rPr>
          <w:rFonts w:ascii="Calibri" w:hAnsi="Calibri"/>
          <w:color w:val="525866"/>
          <w:sz w:val="22"/>
        </w:rPr>
        <w:t xml:space="preserve"> for bookings — from the .CO registry contract expiration, promotional offer dynamics, and aftermarket lapping — and that bookings and revenue growth rates should reach parity or better for the remainder of 2026; Q2 is the first test of that assertion. Estimate revisions have been stable-to-slightly-positive since the Q1 print, with EPS consensus ticking up a penny over the past 30 days to ~$1.72, suggesting the Street is not aggressively re-rating the story but is not fading it either. The stock has underperformed IGV since last earnings (down ~1% vs. IGV +10%), compressing the multiple and creating a lower-risk entry, though the sharp pre-earnings rally in the final week of July (stock up ~20% from late-June lows to ~$105) means some beat is already priced in. The </w:t>
      </w:r>
      <w:r>
        <w:rPr>
          <w:rFonts w:ascii="Calibri" w:hAnsi="Calibri"/>
          <w:b/>
          <w:color w:val="525866"/>
          <w:sz w:val="22"/>
        </w:rPr>
        <w:t>wildcard</w:t>
      </w:r>
      <w:r>
        <w:rPr>
          <w:rFonts w:ascii="Calibri" w:hAnsi="Calibri"/>
          <w:color w:val="525866"/>
          <w:sz w:val="22"/>
        </w:rPr>
        <w:t xml:space="preserve"> is the Airo AI Builder monetization ramp: any quantification of ARR contribution, token economics, or paid marketing ROI beyond the $10M+ annualized run rate disclosed at Q1 could be a meaningful positive catalyst, while a miss on normalized EBITDA margin (guided ~33%) would be the most likely downside scenario given elevated AI investment.</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sits at the midpoint of guidance across all major KPIs — a low-to-moderate bar. </w:t>
      </w:r>
      <w:r>
        <w:rPr>
          <w:rFonts w:ascii="Calibri" w:hAnsi="Calibri"/>
          <w:b/>
          <w:color w:val="525866"/>
          <w:sz w:val="22"/>
        </w:rPr>
        <w:t>Normalized EBITDA margin</w:t>
      </w:r>
      <w:r>
        <w:rPr>
          <w:rFonts w:ascii="Calibri" w:hAnsi="Calibri"/>
          <w:color w:val="525866"/>
          <w:sz w:val="22"/>
        </w:rPr>
        <w:t xml:space="preserve"> is the bigger swing factor given elevated AI investment; revenue is well-anchored by guidance.</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Qtr Actual (Q1 2026)</w:t>
            </w:r>
          </w:p>
        </w:tc>
        <w:tc>
          <w:tcPr>
            <w:tcW w:type="dxa" w:w="1234"/>
            <w:shd w:val="clear" w:color="auto" w:fill="3B4259"/>
          </w:tcPr>
          <w:p>
            <w:r>
              <w:rPr>
                <w:rFonts w:ascii="Calibri" w:hAnsi="Calibri"/>
                <w:b/>
                <w:color w:val="FFFFFF"/>
                <w:sz w:val="22"/>
              </w:rPr>
              <w:t>Prior Year (Q2 2025)</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 vs. Guidance Mid (%)</w:t>
            </w:r>
          </w:p>
        </w:tc>
      </w:tr>
      <w:tr>
        <w:tc>
          <w:tcPr>
            <w:tcW w:type="dxa" w:w="1234"/>
          </w:tcPr>
          <w:p>
            <w:r>
              <w:rPr>
                <w:rFonts w:ascii="Calibri" w:hAnsi="Calibri"/>
                <w:sz w:val="22"/>
              </w:rPr>
              <w:t>Total Revenue ($B)</w:t>
            </w:r>
          </w:p>
        </w:tc>
        <w:tc>
          <w:tcPr>
            <w:tcW w:type="dxa" w:w="1234"/>
          </w:tcPr>
          <w:p>
            <w:r>
              <w:rPr>
                <w:rFonts w:ascii="Calibri" w:hAnsi="Calibri"/>
                <w:sz w:val="22"/>
              </w:rPr>
              <w:t>$1.267B</w:t>
            </w:r>
          </w:p>
        </w:tc>
        <w:tc>
          <w:tcPr>
            <w:tcW w:type="dxa" w:w="1234"/>
          </w:tcPr>
          <w:p>
            <w:r>
              <w:rPr>
                <w:rFonts w:ascii="Calibri" w:hAnsi="Calibri"/>
                <w:sz w:val="22"/>
              </w:rPr>
              <w:t>$1.218B</w:t>
            </w:r>
          </w:p>
        </w:tc>
        <w:tc>
          <w:tcPr>
            <w:tcW w:type="dxa" w:w="1234"/>
          </w:tcPr>
          <w:p>
            <w:r>
              <w:rPr>
                <w:rFonts w:ascii="Calibri" w:hAnsi="Calibri"/>
                <w:sz w:val="22"/>
              </w:rPr>
              <w:t>$1.295B</w:t>
            </w:r>
          </w:p>
        </w:tc>
        <w:tc>
          <w:tcPr>
            <w:tcW w:type="dxa" w:w="1234"/>
          </w:tcPr>
          <w:p>
            <w:r>
              <w:rPr>
                <w:rFonts w:ascii="Calibri" w:hAnsi="Calibri"/>
                <w:sz w:val="22"/>
              </w:rPr>
              <w:t>+6.3%</w:t>
            </w:r>
          </w:p>
        </w:tc>
        <w:tc>
          <w:tcPr>
            <w:tcW w:type="dxa" w:w="1234"/>
          </w:tcPr>
          <w:p>
            <w:r>
              <w:rPr>
                <w:rFonts w:ascii="Calibri" w:hAnsi="Calibri"/>
                <w:sz w:val="22"/>
              </w:rPr>
              <w:t>$1.285–$1.305B (mid: $1.295B)</w:t>
            </w:r>
          </w:p>
        </w:tc>
        <w:tc>
          <w:tcPr>
            <w:tcW w:type="dxa" w:w="1234"/>
          </w:tcPr>
          <w:p>
            <w:r>
              <w:rPr>
                <w:rFonts w:ascii="Calibri" w:hAnsi="Calibri"/>
                <w:sz w:val="22"/>
              </w:rPr>
              <w:t>0.0%</w:t>
            </w:r>
          </w:p>
        </w:tc>
      </w:tr>
      <w:tr>
        <w:tc>
          <w:tcPr>
            <w:tcW w:type="dxa" w:w="1234"/>
          </w:tcPr>
          <w:p>
            <w:r>
              <w:rPr>
                <w:rFonts w:ascii="Calibri" w:hAnsi="Calibri"/>
                <w:sz w:val="22"/>
              </w:rPr>
              <w:t>Normalized EBITDA ($M)</w:t>
            </w:r>
          </w:p>
        </w:tc>
        <w:tc>
          <w:tcPr>
            <w:tcW w:type="dxa" w:w="1234"/>
          </w:tcPr>
          <w:p>
            <w:r>
              <w:rPr>
                <w:rFonts w:ascii="Calibri" w:hAnsi="Calibri"/>
                <w:sz w:val="22"/>
              </w:rPr>
              <w:t>$413.5M</w:t>
            </w:r>
          </w:p>
        </w:tc>
        <w:tc>
          <w:tcPr>
            <w:tcW w:type="dxa" w:w="1234"/>
          </w:tcPr>
          <w:p>
            <w:r>
              <w:rPr>
                <w:rFonts w:ascii="Calibri" w:hAnsi="Calibri"/>
                <w:sz w:val="22"/>
              </w:rPr>
              <w:t>$381.7M</w:t>
            </w:r>
          </w:p>
        </w:tc>
        <w:tc>
          <w:tcPr>
            <w:tcW w:type="dxa" w:w="1234"/>
          </w:tcPr>
          <w:p>
            <w:r>
              <w:rPr>
                <w:rFonts w:ascii="Calibri" w:hAnsi="Calibri"/>
                <w:sz w:val="22"/>
              </w:rPr>
              <w:t>$426.9M</w:t>
            </w:r>
          </w:p>
        </w:tc>
        <w:tc>
          <w:tcPr>
            <w:tcW w:type="dxa" w:w="1234"/>
          </w:tcPr>
          <w:p>
            <w:r>
              <w:rPr>
                <w:rFonts w:ascii="Calibri" w:hAnsi="Calibri"/>
                <w:sz w:val="22"/>
              </w:rPr>
              <w:t>+11.8%</w:t>
            </w:r>
          </w:p>
        </w:tc>
        <w:tc>
          <w:tcPr>
            <w:tcW w:type="dxa" w:w="1234"/>
          </w:tcPr>
          <w:p>
            <w:r>
              <w:rPr>
                <w:rFonts w:ascii="Calibri" w:hAnsi="Calibri"/>
                <w:sz w:val="22"/>
              </w:rPr>
              <w:t>~33% margin (~$427M implied)</w:t>
            </w:r>
          </w:p>
        </w:tc>
        <w:tc>
          <w:tcPr>
            <w:tcW w:type="dxa" w:w="1234"/>
          </w:tcPr>
          <w:p>
            <w:r>
              <w:rPr>
                <w:rFonts w:ascii="Calibri" w:hAnsi="Calibri"/>
                <w:sz w:val="22"/>
              </w:rPr>
              <w:t>~0%</w:t>
            </w:r>
          </w:p>
        </w:tc>
      </w:tr>
      <w:tr>
        <w:tc>
          <w:tcPr>
            <w:tcW w:type="dxa" w:w="1234"/>
          </w:tcPr>
          <w:p>
            <w:r>
              <w:rPr>
                <w:rFonts w:ascii="Calibri" w:hAnsi="Calibri"/>
                <w:sz w:val="22"/>
              </w:rPr>
              <w:t>Norm. EBITDA Margin (%)</w:t>
            </w:r>
          </w:p>
        </w:tc>
        <w:tc>
          <w:tcPr>
            <w:tcW w:type="dxa" w:w="1234"/>
          </w:tcPr>
          <w:p>
            <w:r>
              <w:rPr>
                <w:rFonts w:ascii="Calibri" w:hAnsi="Calibri"/>
                <w:sz w:val="22"/>
              </w:rPr>
              <w:t>32.6%</w:t>
            </w:r>
          </w:p>
        </w:tc>
        <w:tc>
          <w:tcPr>
            <w:tcW w:type="dxa" w:w="1234"/>
          </w:tcPr>
          <w:p>
            <w:r>
              <w:rPr>
                <w:rFonts w:ascii="Calibri" w:hAnsi="Calibri"/>
                <w:sz w:val="22"/>
              </w:rPr>
              <w:t>31.3%</w:t>
            </w:r>
          </w:p>
        </w:tc>
        <w:tc>
          <w:tcPr>
            <w:tcW w:type="dxa" w:w="1234"/>
          </w:tcPr>
          <w:p>
            <w:r>
              <w:rPr>
                <w:rFonts w:ascii="Calibri" w:hAnsi="Calibri"/>
                <w:sz w:val="22"/>
              </w:rPr>
              <w:t>~33.0%</w:t>
            </w:r>
          </w:p>
        </w:tc>
        <w:tc>
          <w:tcPr>
            <w:tcW w:type="dxa" w:w="1234"/>
          </w:tcPr>
          <w:p>
            <w:r>
              <w:rPr>
                <w:rFonts w:ascii="Calibri" w:hAnsi="Calibri"/>
                <w:sz w:val="22"/>
              </w:rPr>
              <w:t>+170 bps YoY</w:t>
            </w:r>
          </w:p>
        </w:tc>
        <w:tc>
          <w:tcPr>
            <w:tcW w:type="dxa" w:w="1234"/>
          </w:tcPr>
          <w:p>
            <w:r>
              <w:rPr>
                <w:rFonts w:ascii="Calibri" w:hAnsi="Calibri"/>
                <w:sz w:val="22"/>
              </w:rPr>
              <w:t>~33%</w:t>
            </w:r>
          </w:p>
        </w:tc>
        <w:tc>
          <w:tcPr>
            <w:tcW w:type="dxa" w:w="1234"/>
          </w:tcPr>
          <w:p>
            <w:r>
              <w:rPr>
                <w:rFonts w:ascii="Calibri" w:hAnsi="Calibri"/>
                <w:sz w:val="22"/>
              </w:rPr>
              <w:t>~0 bps</w:t>
            </w:r>
          </w:p>
        </w:tc>
      </w:tr>
      <w:tr>
        <w:tc>
          <w:tcPr>
            <w:tcW w:type="dxa" w:w="1234"/>
          </w:tcPr>
          <w:p>
            <w:r>
              <w:rPr>
                <w:rFonts w:ascii="Calibri" w:hAnsi="Calibri"/>
                <w:sz w:val="22"/>
              </w:rPr>
              <w:t>Adj. EPS (Diluted, Operating)</w:t>
            </w:r>
          </w:p>
        </w:tc>
        <w:tc>
          <w:tcPr>
            <w:tcW w:type="dxa" w:w="1234"/>
          </w:tcPr>
          <w:p>
            <w:r>
              <w:rPr>
                <w:rFonts w:ascii="Calibri" w:hAnsi="Calibri"/>
                <w:sz w:val="22"/>
              </w:rPr>
              <w:t>$2.14</w:t>
            </w:r>
          </w:p>
        </w:tc>
        <w:tc>
          <w:tcPr>
            <w:tcW w:type="dxa" w:w="1234"/>
          </w:tcPr>
          <w:p>
            <w:r>
              <w:rPr>
                <w:rFonts w:ascii="Calibri" w:hAnsi="Calibri"/>
                <w:sz w:val="22"/>
              </w:rPr>
              <w:t>$1.99</w:t>
            </w:r>
          </w:p>
        </w:tc>
        <w:tc>
          <w:tcPr>
            <w:tcW w:type="dxa" w:w="1234"/>
          </w:tcPr>
          <w:p>
            <w:r>
              <w:rPr>
                <w:rFonts w:ascii="Calibri" w:hAnsi="Calibri"/>
                <w:sz w:val="22"/>
              </w:rPr>
              <w:t>$2.22</w:t>
            </w:r>
          </w:p>
        </w:tc>
        <w:tc>
          <w:tcPr>
            <w:tcW w:type="dxa" w:w="1234"/>
          </w:tcPr>
          <w:p>
            <w:r>
              <w:rPr>
                <w:rFonts w:ascii="Calibri" w:hAnsi="Calibri"/>
                <w:sz w:val="22"/>
              </w:rPr>
              <w:t>+11.6%</w:t>
            </w:r>
          </w:p>
        </w:tc>
        <w:tc>
          <w:tcPr>
            <w:tcW w:type="dxa" w:w="1234"/>
          </w:tcPr>
          <w:p>
            <w:r>
              <w:rPr>
                <w:rFonts w:ascii="Calibri" w:hAnsi="Calibri"/>
                <w:sz w:val="22"/>
              </w:rPr>
              <w:t>Not explicitly guided</w:t>
            </w:r>
          </w:p>
        </w:tc>
        <w:tc>
          <w:tcPr>
            <w:tcW w:type="dxa" w:w="1234"/>
          </w:tcPr>
          <w:p>
            <w:r>
              <w:rPr>
                <w:rFonts w:ascii="Calibri" w:hAnsi="Calibri"/>
                <w:sz w:val="22"/>
              </w:rPr>
              <w:t>N/A</w:t>
            </w:r>
          </w:p>
        </w:tc>
      </w:tr>
      <w:tr>
        <w:tc>
          <w:tcPr>
            <w:tcW w:type="dxa" w:w="1234"/>
          </w:tcPr>
          <w:p>
            <w:r>
              <w:rPr>
                <w:rFonts w:ascii="Calibri" w:hAnsi="Calibri"/>
                <w:sz w:val="22"/>
              </w:rPr>
              <w:t>Free Cash Flow ($M)</w:t>
            </w:r>
          </w:p>
        </w:tc>
        <w:tc>
          <w:tcPr>
            <w:tcW w:type="dxa" w:w="1234"/>
          </w:tcPr>
          <w:p>
            <w:r>
              <w:rPr>
                <w:rFonts w:ascii="Calibri" w:hAnsi="Calibri"/>
                <w:sz w:val="22"/>
              </w:rPr>
              <w:t>$473.6M</w:t>
            </w:r>
          </w:p>
        </w:tc>
        <w:tc>
          <w:tcPr>
            <w:tcW w:type="dxa" w:w="1234"/>
          </w:tcPr>
          <w:p>
            <w:r>
              <w:rPr>
                <w:rFonts w:ascii="Calibri" w:hAnsi="Calibri"/>
                <w:sz w:val="22"/>
              </w:rPr>
              <w:t>$391.5M</w:t>
            </w:r>
          </w:p>
        </w:tc>
        <w:tc>
          <w:tcPr>
            <w:tcW w:type="dxa" w:w="1234"/>
          </w:tcPr>
          <w:p>
            <w:r>
              <w:rPr>
                <w:rFonts w:ascii="Calibri" w:hAnsi="Calibri"/>
                <w:sz w:val="22"/>
              </w:rPr>
              <w:t>$456.5M</w:t>
            </w:r>
          </w:p>
        </w:tc>
        <w:tc>
          <w:tcPr>
            <w:tcW w:type="dxa" w:w="1234"/>
          </w:tcPr>
          <w:p>
            <w:r>
              <w:rPr>
                <w:rFonts w:ascii="Calibri" w:hAnsi="Calibri"/>
                <w:sz w:val="22"/>
              </w:rPr>
              <w:t>+16.6%</w:t>
            </w:r>
          </w:p>
        </w:tc>
        <w:tc>
          <w:tcPr>
            <w:tcW w:type="dxa" w:w="1234"/>
          </w:tcPr>
          <w:p>
            <w:r>
              <w:rPr>
                <w:rFonts w:ascii="Calibri" w:hAnsi="Calibri"/>
                <w:sz w:val="22"/>
              </w:rPr>
              <w:t>FY ~$1.8B (&gt;1:1 EBITDA conv.)</w:t>
            </w:r>
          </w:p>
        </w:tc>
        <w:tc>
          <w:tcPr>
            <w:tcW w:type="dxa" w:w="1234"/>
          </w:tcPr>
          <w:p>
            <w:r>
              <w:rPr>
                <w:rFonts w:ascii="Calibri" w:hAnsi="Calibri"/>
                <w:sz w:val="22"/>
              </w:rPr>
              <w:t>N/A (FY guided)</w:t>
            </w:r>
          </w:p>
        </w:tc>
      </w:tr>
      <w:tr>
        <w:tc>
          <w:tcPr>
            <w:tcW w:type="dxa" w:w="1234"/>
          </w:tcPr>
          <w:p>
            <w:r>
              <w:rPr>
                <w:rFonts w:ascii="Calibri" w:hAnsi="Calibri"/>
                <w:sz w:val="22"/>
              </w:rPr>
              <w:t>ARR ($B)</w:t>
            </w:r>
          </w:p>
        </w:tc>
        <w:tc>
          <w:tcPr>
            <w:tcW w:type="dxa" w:w="1234"/>
          </w:tcPr>
          <w:p>
            <w:r>
              <w:rPr>
                <w:rFonts w:ascii="Calibri" w:hAnsi="Calibri"/>
                <w:sz w:val="22"/>
              </w:rPr>
              <w:t>$4.288B</w:t>
            </w:r>
          </w:p>
        </w:tc>
        <w:tc>
          <w:tcPr>
            <w:tcW w:type="dxa" w:w="1234"/>
          </w:tcPr>
          <w:p>
            <w:r>
              <w:rPr>
                <w:rFonts w:ascii="Calibri" w:hAnsi="Calibri"/>
                <w:sz w:val="22"/>
              </w:rPr>
              <w:t>$4.181B</w:t>
            </w:r>
          </w:p>
        </w:tc>
        <w:tc>
          <w:tcPr>
            <w:tcW w:type="dxa" w:w="1234"/>
          </w:tcPr>
          <w:p>
            <w:r>
              <w:rPr>
                <w:rFonts w:ascii="Calibri" w:hAnsi="Calibri"/>
                <w:sz w:val="22"/>
              </w:rPr>
              <w:t>$4.426B</w:t>
            </w:r>
          </w:p>
        </w:tc>
        <w:tc>
          <w:tcPr>
            <w:tcW w:type="dxa" w:w="1234"/>
          </w:tcPr>
          <w:p>
            <w:r>
              <w:rPr>
                <w:rFonts w:ascii="Calibri" w:hAnsi="Calibri"/>
                <w:sz w:val="22"/>
              </w:rPr>
              <w:t>+5.9%</w:t>
            </w:r>
          </w:p>
        </w:tc>
        <w:tc>
          <w:tcPr>
            <w:tcW w:type="dxa" w:w="1234"/>
          </w:tcPr>
          <w:p>
            <w:r>
              <w:rPr>
                <w:rFonts w:ascii="Calibri" w:hAnsi="Calibri"/>
                <w:sz w:val="22"/>
              </w:rPr>
              <w:t>Not explicitly guided</w:t>
            </w:r>
          </w:p>
        </w:tc>
        <w:tc>
          <w:tcPr>
            <w:tcW w:type="dxa" w:w="1234"/>
          </w:tcPr>
          <w:p>
            <w:r>
              <w:rPr>
                <w:rFonts w:ascii="Calibri" w:hAnsi="Calibri"/>
                <w:sz w:val="22"/>
              </w:rPr>
              <w:t>N/A</w:t>
            </w:r>
          </w:p>
        </w:tc>
      </w:tr>
      <w:tr>
        <w:tc>
          <w:tcPr>
            <w:tcW w:type="dxa" w:w="1234"/>
          </w:tcPr>
          <w:p>
            <w:r>
              <w:rPr>
                <w:rFonts w:ascii="Calibri" w:hAnsi="Calibri"/>
                <w:sz w:val="22"/>
              </w:rPr>
              <w:t>Avg. Customers (M)</w:t>
            </w:r>
          </w:p>
        </w:tc>
        <w:tc>
          <w:tcPr>
            <w:tcW w:type="dxa" w:w="1234"/>
          </w:tcPr>
          <w:p>
            <w:r>
              <w:rPr>
                <w:rFonts w:ascii="Calibri" w:hAnsi="Calibri"/>
                <w:sz w:val="22"/>
              </w:rPr>
              <w:t>20.43M</w:t>
            </w:r>
          </w:p>
        </w:tc>
        <w:tc>
          <w:tcPr>
            <w:tcW w:type="dxa" w:w="1234"/>
          </w:tcPr>
          <w:p>
            <w:r>
              <w:rPr>
                <w:rFonts w:ascii="Calibri" w:hAnsi="Calibri"/>
                <w:sz w:val="22"/>
              </w:rPr>
              <w:t>20.45M</w:t>
            </w:r>
          </w:p>
        </w:tc>
        <w:tc>
          <w:tcPr>
            <w:tcW w:type="dxa" w:w="1234"/>
          </w:tcPr>
          <w:p>
            <w:r>
              <w:rPr>
                <w:rFonts w:ascii="Calibri" w:hAnsi="Calibri"/>
                <w:sz w:val="22"/>
              </w:rPr>
              <w:t>20.46M</w:t>
            </w:r>
          </w:p>
        </w:tc>
        <w:tc>
          <w:tcPr>
            <w:tcW w:type="dxa" w:w="1234"/>
          </w:tcPr>
          <w:p>
            <w:r>
              <w:rPr>
                <w:rFonts w:ascii="Calibri" w:hAnsi="Calibri"/>
                <w:sz w:val="22"/>
              </w:rPr>
              <w:t>~flat</w:t>
            </w:r>
          </w:p>
        </w:tc>
        <w:tc>
          <w:tcPr>
            <w:tcW w:type="dxa" w:w="1234"/>
          </w:tcPr>
          <w:p>
            <w:r>
              <w:rPr>
                <w:rFonts w:ascii="Calibri" w:hAnsi="Calibri"/>
                <w:sz w:val="22"/>
              </w:rPr>
              <w:t>Not guided</w:t>
            </w:r>
          </w:p>
        </w:tc>
        <w:tc>
          <w:tcPr>
            <w:tcW w:type="dxa" w:w="1234"/>
          </w:tcPr>
          <w:p>
            <w:r>
              <w:rPr>
                <w:rFonts w:ascii="Calibri" w:hAnsi="Calibri"/>
                <w:sz w:val="22"/>
              </w:rPr>
              <w:t>N/A</w:t>
            </w:r>
          </w:p>
        </w:tc>
      </w:tr>
      <w:tr>
        <w:tc>
          <w:tcPr>
            <w:tcW w:type="dxa" w:w="1234"/>
          </w:tcPr>
          <w:p>
            <w:r>
              <w:rPr>
                <w:rFonts w:ascii="Calibri" w:hAnsi="Calibri"/>
                <w:sz w:val="22"/>
              </w:rPr>
              <w:t>ARPU (Annualized, $)</w:t>
            </w:r>
          </w:p>
        </w:tc>
        <w:tc>
          <w:tcPr>
            <w:tcW w:type="dxa" w:w="1234"/>
          </w:tcPr>
          <w:p>
            <w:r>
              <w:rPr>
                <w:rFonts w:ascii="Calibri" w:hAnsi="Calibri"/>
                <w:sz w:val="22"/>
              </w:rPr>
              <w:t>$246</w:t>
            </w:r>
          </w:p>
        </w:tc>
        <w:tc>
          <w:tcPr>
            <w:tcW w:type="dxa" w:w="1234"/>
          </w:tcPr>
          <w:p>
            <w:r>
              <w:rPr>
                <w:rFonts w:ascii="Calibri" w:hAnsi="Calibri"/>
                <w:sz w:val="22"/>
              </w:rPr>
              <w:t>$230</w:t>
            </w:r>
          </w:p>
        </w:tc>
        <w:tc>
          <w:tcPr>
            <w:tcW w:type="dxa" w:w="1234"/>
          </w:tcPr>
          <w:p>
            <w:r>
              <w:rPr>
                <w:rFonts w:ascii="Calibri" w:hAnsi="Calibri"/>
                <w:sz w:val="22"/>
              </w:rPr>
              <w:t>$268</w:t>
            </w:r>
          </w:p>
        </w:tc>
        <w:tc>
          <w:tcPr>
            <w:tcW w:type="dxa" w:w="1234"/>
          </w:tcPr>
          <w:p>
            <w:r>
              <w:rPr>
                <w:rFonts w:ascii="Calibri" w:hAnsi="Calibri"/>
                <w:sz w:val="22"/>
              </w:rPr>
              <w:t>+16.5%</w:t>
            </w:r>
          </w:p>
        </w:tc>
        <w:tc>
          <w:tcPr>
            <w:tcW w:type="dxa" w:w="1234"/>
          </w:tcPr>
          <w:p>
            <w:r>
              <w:rPr>
                <w:rFonts w:ascii="Calibri" w:hAnsi="Calibri"/>
                <w:sz w:val="22"/>
              </w:rPr>
              <w:t>Not guided</w:t>
            </w:r>
          </w:p>
        </w:tc>
        <w:tc>
          <w:tcPr>
            <w:tcW w:type="dxa" w:w="1234"/>
          </w:tcPr>
          <w:p>
            <w:r>
              <w:rPr>
                <w:rFonts w:ascii="Calibri" w:hAnsi="Calibri"/>
                <w:sz w:val="22"/>
              </w:rPr>
              <w:t>N/A</w:t>
            </w:r>
          </w:p>
        </w:tc>
      </w:tr>
      <w:tr>
        <w:tc>
          <w:tcPr>
            <w:tcW w:type="dxa" w:w="1234"/>
          </w:tcPr>
          <w:p>
            <w:r>
              <w:rPr>
                <w:rFonts w:ascii="Calibri" w:hAnsi="Calibri"/>
                <w:sz w:val="22"/>
              </w:rPr>
              <w:t>Gross Bookings ($B)</w:t>
            </w:r>
          </w:p>
        </w:tc>
        <w:tc>
          <w:tcPr>
            <w:tcW w:type="dxa" w:w="1234"/>
          </w:tcPr>
          <w:p>
            <w:r>
              <w:rPr>
                <w:rFonts w:ascii="Calibri" w:hAnsi="Calibri"/>
                <w:sz w:val="22"/>
              </w:rPr>
              <w:t>$1.455B</w:t>
            </w:r>
          </w:p>
        </w:tc>
        <w:tc>
          <w:tcPr>
            <w:tcW w:type="dxa" w:w="1234"/>
          </w:tcPr>
          <w:p>
            <w:r>
              <w:rPr>
                <w:rFonts w:ascii="Calibri" w:hAnsi="Calibri"/>
                <w:sz w:val="22"/>
              </w:rPr>
              <w:t>$1.345B</w:t>
            </w:r>
          </w:p>
        </w:tc>
        <w:tc>
          <w:tcPr>
            <w:tcW w:type="dxa" w:w="1234"/>
          </w:tcPr>
          <w:p>
            <w:r>
              <w:rPr>
                <w:rFonts w:ascii="Calibri" w:hAnsi="Calibri"/>
                <w:sz w:val="22"/>
              </w:rPr>
              <w:t>$1.428B</w:t>
            </w:r>
          </w:p>
        </w:tc>
        <w:tc>
          <w:tcPr>
            <w:tcW w:type="dxa" w:w="1234"/>
          </w:tcPr>
          <w:p>
            <w:r>
              <w:rPr>
                <w:rFonts w:ascii="Calibri" w:hAnsi="Calibri"/>
                <w:sz w:val="22"/>
              </w:rPr>
              <w:t>+6.2%</w:t>
            </w:r>
          </w:p>
        </w:tc>
        <w:tc>
          <w:tcPr>
            <w:tcW w:type="dxa" w:w="1234"/>
          </w:tcPr>
          <w:p>
            <w:r>
              <w:rPr>
                <w:rFonts w:ascii="Calibri" w:hAnsi="Calibri"/>
                <w:sz w:val="22"/>
              </w:rPr>
              <w:t>At/above revenue growth parity</w:t>
            </w:r>
          </w:p>
        </w:tc>
        <w:tc>
          <w:tcPr>
            <w:tcW w:type="dxa" w:w="1234"/>
          </w:tcPr>
          <w:p>
            <w:r>
              <w:rPr>
                <w:rFonts w:ascii="Calibri" w:hAnsi="Calibri"/>
                <w:sz w:val="22"/>
              </w:rPr>
              <w:t>~0% vs. implied</w:t>
            </w:r>
          </w:p>
        </w:tc>
      </w:tr>
    </w:tbl>
    <w:p>
      <w:r>
        <w:rPr>
          <w:rFonts w:ascii="Calibri" w:hAnsi="Calibri"/>
          <w:color w:val="525866"/>
          <w:sz w:val="22"/>
        </w:rPr>
        <w:t>Source: Visible Alpha consensus and actuals data. Q2 2026 consensus as of July 29, 2026. Guidance from Q1 2026 earnings call (April 30, 2026). ARPU consensus figure shown is annualized average revenue per customer.</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Total Revenue</w:t>
            </w:r>
          </w:p>
        </w:tc>
        <w:tc>
          <w:tcPr>
            <w:tcW w:type="dxa" w:w="1440"/>
          </w:tcPr>
          <w:p>
            <w:r>
              <w:rPr>
                <w:rFonts w:ascii="Calibri" w:hAnsi="Calibri"/>
                <w:sz w:val="22"/>
              </w:rPr>
              <w:t>$1,266.9M</w:t>
            </w:r>
          </w:p>
        </w:tc>
        <w:tc>
          <w:tcPr>
            <w:tcW w:type="dxa" w:w="1440"/>
          </w:tcPr>
          <w:p>
            <w:r>
              <w:rPr>
                <w:rFonts w:ascii="Calibri" w:hAnsi="Calibri"/>
                <w:sz w:val="22"/>
              </w:rPr>
              <w:t>$1,262.1M</w:t>
            </w:r>
          </w:p>
        </w:tc>
        <w:tc>
          <w:tcPr>
            <w:tcW w:type="dxa" w:w="1440"/>
          </w:tcPr>
          <w:p>
            <w:r>
              <w:rPr>
                <w:rFonts w:ascii="Calibri" w:hAnsi="Calibri"/>
                <w:b/>
                <w:color w:val="30A46C"/>
                <w:sz w:val="22"/>
              </w:rPr>
              <w:t>+0.4%</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Norm. EBITDA</w:t>
            </w:r>
          </w:p>
        </w:tc>
        <w:tc>
          <w:tcPr>
            <w:tcW w:type="dxa" w:w="1440"/>
          </w:tcPr>
          <w:p>
            <w:r>
              <w:rPr>
                <w:rFonts w:ascii="Calibri" w:hAnsi="Calibri"/>
                <w:sz w:val="22"/>
              </w:rPr>
              <w:t>$413.5M</w:t>
            </w:r>
          </w:p>
        </w:tc>
        <w:tc>
          <w:tcPr>
            <w:tcW w:type="dxa" w:w="1440"/>
          </w:tcPr>
          <w:p>
            <w:r>
              <w:rPr>
                <w:rFonts w:ascii="Calibri" w:hAnsi="Calibri"/>
                <w:sz w:val="22"/>
              </w:rPr>
              <w:t>$403.2M</w:t>
            </w:r>
          </w:p>
        </w:tc>
        <w:tc>
          <w:tcPr>
            <w:tcW w:type="dxa" w:w="1440"/>
          </w:tcPr>
          <w:p>
            <w:r>
              <w:rPr>
                <w:rFonts w:ascii="Calibri" w:hAnsi="Calibri"/>
                <w:b/>
                <w:color w:val="30A46C"/>
                <w:sz w:val="22"/>
              </w:rPr>
              <w:t>+2.6%</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Total Revenue</w:t>
            </w:r>
          </w:p>
        </w:tc>
        <w:tc>
          <w:tcPr>
            <w:tcW w:type="dxa" w:w="1440"/>
          </w:tcPr>
          <w:p>
            <w:r>
              <w:rPr>
                <w:rFonts w:ascii="Calibri" w:hAnsi="Calibri"/>
                <w:sz w:val="22"/>
              </w:rPr>
              <w:t>$1,273.9M</w:t>
            </w:r>
          </w:p>
        </w:tc>
        <w:tc>
          <w:tcPr>
            <w:tcW w:type="dxa" w:w="1440"/>
          </w:tcPr>
          <w:p>
            <w:r>
              <w:rPr>
                <w:rFonts w:ascii="Calibri" w:hAnsi="Calibri"/>
                <w:sz w:val="22"/>
              </w:rPr>
              <w:t>$1,269.4M</w:t>
            </w:r>
          </w:p>
        </w:tc>
        <w:tc>
          <w:tcPr>
            <w:tcW w:type="dxa" w:w="1440"/>
          </w:tcPr>
          <w:p>
            <w:r>
              <w:rPr>
                <w:rFonts w:ascii="Calibri" w:hAnsi="Calibri"/>
                <w:b/>
                <w:color w:val="30A46C"/>
                <w:sz w:val="22"/>
              </w:rPr>
              <w:t>+0.4%</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Norm. EBITDA</w:t>
            </w:r>
          </w:p>
        </w:tc>
        <w:tc>
          <w:tcPr>
            <w:tcW w:type="dxa" w:w="1440"/>
          </w:tcPr>
          <w:p>
            <w:r>
              <w:rPr>
                <w:rFonts w:ascii="Calibri" w:hAnsi="Calibri"/>
                <w:sz w:val="22"/>
              </w:rPr>
              <w:t>$431.2M</w:t>
            </w:r>
          </w:p>
        </w:tc>
        <w:tc>
          <w:tcPr>
            <w:tcW w:type="dxa" w:w="1440"/>
          </w:tcPr>
          <w:p>
            <w:r>
              <w:rPr>
                <w:rFonts w:ascii="Calibri" w:hAnsi="Calibri"/>
                <w:sz w:val="22"/>
              </w:rPr>
              <w:t>$419.1M</w:t>
            </w:r>
          </w:p>
        </w:tc>
        <w:tc>
          <w:tcPr>
            <w:tcW w:type="dxa" w:w="1440"/>
          </w:tcPr>
          <w:p>
            <w:r>
              <w:rPr>
                <w:rFonts w:ascii="Calibri" w:hAnsi="Calibri"/>
                <w:b/>
                <w:color w:val="30A46C"/>
                <w:sz w:val="22"/>
              </w:rPr>
              <w:t>+2.9%</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Total Revenue</w:t>
            </w:r>
          </w:p>
        </w:tc>
        <w:tc>
          <w:tcPr>
            <w:tcW w:type="dxa" w:w="1440"/>
          </w:tcPr>
          <w:p>
            <w:r>
              <w:rPr>
                <w:rFonts w:ascii="Calibri" w:hAnsi="Calibri"/>
                <w:sz w:val="22"/>
              </w:rPr>
              <w:t>$1,265.3M</w:t>
            </w:r>
          </w:p>
        </w:tc>
        <w:tc>
          <w:tcPr>
            <w:tcW w:type="dxa" w:w="1440"/>
          </w:tcPr>
          <w:p>
            <w:r>
              <w:rPr>
                <w:rFonts w:ascii="Calibri" w:hAnsi="Calibri"/>
                <w:sz w:val="22"/>
              </w:rPr>
              <w:t>$1,231.8M</w:t>
            </w:r>
          </w:p>
        </w:tc>
        <w:tc>
          <w:tcPr>
            <w:tcW w:type="dxa" w:w="1440"/>
          </w:tcPr>
          <w:p>
            <w:r>
              <w:rPr>
                <w:rFonts w:ascii="Calibri" w:hAnsi="Calibri"/>
                <w:b/>
                <w:color w:val="30A46C"/>
                <w:sz w:val="22"/>
              </w:rPr>
              <w:t>+2.7%</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Norm. EBITDA</w:t>
            </w:r>
          </w:p>
        </w:tc>
        <w:tc>
          <w:tcPr>
            <w:tcW w:type="dxa" w:w="1440"/>
          </w:tcPr>
          <w:p>
            <w:r>
              <w:rPr>
                <w:rFonts w:ascii="Calibri" w:hAnsi="Calibri"/>
                <w:sz w:val="22"/>
              </w:rPr>
              <w:t>$408.6M</w:t>
            </w:r>
          </w:p>
        </w:tc>
        <w:tc>
          <w:tcPr>
            <w:tcW w:type="dxa" w:w="1440"/>
          </w:tcPr>
          <w:p>
            <w:r>
              <w:rPr>
                <w:rFonts w:ascii="Calibri" w:hAnsi="Calibri"/>
                <w:sz w:val="22"/>
              </w:rPr>
              <w:t>$393.9M</w:t>
            </w:r>
          </w:p>
        </w:tc>
        <w:tc>
          <w:tcPr>
            <w:tcW w:type="dxa" w:w="1440"/>
          </w:tcPr>
          <w:p>
            <w:r>
              <w:rPr>
                <w:rFonts w:ascii="Calibri" w:hAnsi="Calibri"/>
                <w:b/>
                <w:color w:val="30A46C"/>
                <w:sz w:val="22"/>
              </w:rPr>
              <w:t>+3.7%</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Total Revenue</w:t>
            </w:r>
          </w:p>
        </w:tc>
        <w:tc>
          <w:tcPr>
            <w:tcW w:type="dxa" w:w="1440"/>
          </w:tcPr>
          <w:p>
            <w:r>
              <w:rPr>
                <w:rFonts w:ascii="Calibri" w:hAnsi="Calibri"/>
                <w:sz w:val="22"/>
              </w:rPr>
              <w:t>$1,217.6M</w:t>
            </w:r>
          </w:p>
        </w:tc>
        <w:tc>
          <w:tcPr>
            <w:tcW w:type="dxa" w:w="1440"/>
          </w:tcPr>
          <w:p>
            <w:r>
              <w:rPr>
                <w:rFonts w:ascii="Calibri" w:hAnsi="Calibri"/>
                <w:sz w:val="22"/>
              </w:rPr>
              <w:t>$1,206.2M</w:t>
            </w:r>
          </w:p>
        </w:tc>
        <w:tc>
          <w:tcPr>
            <w:tcW w:type="dxa" w:w="1440"/>
          </w:tcPr>
          <w:p>
            <w:r>
              <w:rPr>
                <w:rFonts w:ascii="Calibri" w:hAnsi="Calibri"/>
                <w:b/>
                <w:color w:val="30A46C"/>
                <w:sz w:val="22"/>
              </w:rPr>
              <w:t>+0.9%</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Norm. EBITDA</w:t>
            </w:r>
          </w:p>
        </w:tc>
        <w:tc>
          <w:tcPr>
            <w:tcW w:type="dxa" w:w="1440"/>
          </w:tcPr>
          <w:p>
            <w:r>
              <w:rPr>
                <w:rFonts w:ascii="Calibri" w:hAnsi="Calibri"/>
                <w:sz w:val="22"/>
              </w:rPr>
              <w:t>$381.7M</w:t>
            </w:r>
          </w:p>
        </w:tc>
        <w:tc>
          <w:tcPr>
            <w:tcW w:type="dxa" w:w="1440"/>
          </w:tcPr>
          <w:p>
            <w:r>
              <w:rPr>
                <w:rFonts w:ascii="Calibri" w:hAnsi="Calibri"/>
                <w:sz w:val="22"/>
              </w:rPr>
              <w:t>$374.4M</w:t>
            </w:r>
          </w:p>
        </w:tc>
        <w:tc>
          <w:tcPr>
            <w:tcW w:type="dxa" w:w="1440"/>
          </w:tcPr>
          <w:p>
            <w:r>
              <w:rPr>
                <w:rFonts w:ascii="Calibri" w:hAnsi="Calibri"/>
                <w:b/>
                <w:color w:val="30A46C"/>
                <w:sz w:val="22"/>
              </w:rPr>
              <w:t>+1.9%</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Total Revenue</w:t>
            </w:r>
          </w:p>
        </w:tc>
        <w:tc>
          <w:tcPr>
            <w:tcW w:type="dxa" w:w="1440"/>
          </w:tcPr>
          <w:p>
            <w:r>
              <w:rPr>
                <w:rFonts w:ascii="Calibri" w:hAnsi="Calibri"/>
                <w:sz w:val="22"/>
              </w:rPr>
              <w:t>$1,194.3M</w:t>
            </w:r>
          </w:p>
        </w:tc>
        <w:tc>
          <w:tcPr>
            <w:tcW w:type="dxa" w:w="1440"/>
          </w:tcPr>
          <w:p>
            <w:r>
              <w:rPr>
                <w:rFonts w:ascii="Calibri" w:hAnsi="Calibri"/>
                <w:sz w:val="22"/>
              </w:rPr>
              <w:t>$1,187.5M</w:t>
            </w:r>
          </w:p>
        </w:tc>
        <w:tc>
          <w:tcPr>
            <w:tcW w:type="dxa" w:w="1440"/>
          </w:tcPr>
          <w:p>
            <w:r>
              <w:rPr>
                <w:rFonts w:ascii="Calibri" w:hAnsi="Calibri"/>
                <w:b/>
                <w:color w:val="30A46C"/>
                <w:sz w:val="22"/>
              </w:rPr>
              <w:t>+0.6%</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Norm. EBITDA</w:t>
            </w:r>
          </w:p>
        </w:tc>
        <w:tc>
          <w:tcPr>
            <w:tcW w:type="dxa" w:w="1440"/>
          </w:tcPr>
          <w:p>
            <w:r>
              <w:rPr>
                <w:rFonts w:ascii="Calibri" w:hAnsi="Calibri"/>
                <w:sz w:val="22"/>
              </w:rPr>
              <w:t>$364.4M</w:t>
            </w:r>
          </w:p>
        </w:tc>
        <w:tc>
          <w:tcPr>
            <w:tcW w:type="dxa" w:w="1440"/>
          </w:tcPr>
          <w:p>
            <w:r>
              <w:rPr>
                <w:rFonts w:ascii="Calibri" w:hAnsi="Calibri"/>
                <w:sz w:val="22"/>
              </w:rPr>
              <w:t>$357.9M</w:t>
            </w:r>
          </w:p>
        </w:tc>
        <w:tc>
          <w:tcPr>
            <w:tcW w:type="dxa" w:w="1440"/>
          </w:tcPr>
          <w:p>
            <w:r>
              <w:rPr>
                <w:rFonts w:ascii="Calibri" w:hAnsi="Calibri"/>
                <w:b/>
                <w:color w:val="30A46C"/>
                <w:sz w:val="22"/>
              </w:rPr>
              <w:t>+1.8%</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Total Revenue</w:t>
            </w:r>
          </w:p>
        </w:tc>
        <w:tc>
          <w:tcPr>
            <w:tcW w:type="dxa" w:w="1440"/>
          </w:tcPr>
          <w:p>
            <w:r>
              <w:rPr>
                <w:rFonts w:ascii="Calibri" w:hAnsi="Calibri"/>
                <w:sz w:val="22"/>
              </w:rPr>
              <w:t>$1,192.6M</w:t>
            </w:r>
          </w:p>
        </w:tc>
        <w:tc>
          <w:tcPr>
            <w:tcW w:type="dxa" w:w="1440"/>
          </w:tcPr>
          <w:p>
            <w:r>
              <w:rPr>
                <w:rFonts w:ascii="Calibri" w:hAnsi="Calibri"/>
                <w:sz w:val="22"/>
              </w:rPr>
              <w:t>$1,175.8M</w:t>
            </w:r>
          </w:p>
        </w:tc>
        <w:tc>
          <w:tcPr>
            <w:tcW w:type="dxa" w:w="1440"/>
          </w:tcPr>
          <w:p>
            <w:r>
              <w:rPr>
                <w:rFonts w:ascii="Calibri" w:hAnsi="Calibri"/>
                <w:b/>
                <w:color w:val="30A46C"/>
                <w:sz w:val="22"/>
              </w:rPr>
              <w:t>+1.4%</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Norm. EBITDA</w:t>
            </w:r>
          </w:p>
        </w:tc>
        <w:tc>
          <w:tcPr>
            <w:tcW w:type="dxa" w:w="1440"/>
          </w:tcPr>
          <w:p>
            <w:r>
              <w:rPr>
                <w:rFonts w:ascii="Calibri" w:hAnsi="Calibri"/>
                <w:sz w:val="22"/>
              </w:rPr>
              <w:t>$384.7M</w:t>
            </w:r>
          </w:p>
        </w:tc>
        <w:tc>
          <w:tcPr>
            <w:tcW w:type="dxa" w:w="1440"/>
          </w:tcPr>
          <w:p>
            <w:r>
              <w:rPr>
                <w:rFonts w:ascii="Calibri" w:hAnsi="Calibri"/>
                <w:sz w:val="22"/>
              </w:rPr>
              <w:t>$365.5M</w:t>
            </w:r>
          </w:p>
        </w:tc>
        <w:tc>
          <w:tcPr>
            <w:tcW w:type="dxa" w:w="1440"/>
          </w:tcPr>
          <w:p>
            <w:r>
              <w:rPr>
                <w:rFonts w:ascii="Calibri" w:hAnsi="Calibri"/>
                <w:b/>
                <w:color w:val="30A46C"/>
                <w:sz w:val="22"/>
              </w:rPr>
              <w:t>+5.2%</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Total Revenue</w:t>
            </w:r>
          </w:p>
        </w:tc>
        <w:tc>
          <w:tcPr>
            <w:tcW w:type="dxa" w:w="1440"/>
          </w:tcPr>
          <w:p>
            <w:r>
              <w:rPr>
                <w:rFonts w:ascii="Calibri" w:hAnsi="Calibri"/>
                <w:sz w:val="22"/>
              </w:rPr>
              <w:t>$1,147.6M</w:t>
            </w:r>
          </w:p>
        </w:tc>
        <w:tc>
          <w:tcPr>
            <w:tcW w:type="dxa" w:w="1440"/>
          </w:tcPr>
          <w:p>
            <w:r>
              <w:rPr>
                <w:rFonts w:ascii="Calibri" w:hAnsi="Calibri"/>
                <w:sz w:val="22"/>
              </w:rPr>
              <w:t>$1,142.9M</w:t>
            </w:r>
          </w:p>
        </w:tc>
        <w:tc>
          <w:tcPr>
            <w:tcW w:type="dxa" w:w="1440"/>
          </w:tcPr>
          <w:p>
            <w:r>
              <w:rPr>
                <w:rFonts w:ascii="Calibri" w:hAnsi="Calibri"/>
                <w:b/>
                <w:color w:val="30A46C"/>
                <w:sz w:val="22"/>
              </w:rPr>
              <w:t>+0.4%</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Norm. EBITDA</w:t>
            </w:r>
          </w:p>
        </w:tc>
        <w:tc>
          <w:tcPr>
            <w:tcW w:type="dxa" w:w="1440"/>
          </w:tcPr>
          <w:p>
            <w:r>
              <w:rPr>
                <w:rFonts w:ascii="Calibri" w:hAnsi="Calibri"/>
                <w:sz w:val="22"/>
              </w:rPr>
              <w:t>$366.5M</w:t>
            </w:r>
          </w:p>
        </w:tc>
        <w:tc>
          <w:tcPr>
            <w:tcW w:type="dxa" w:w="1440"/>
          </w:tcPr>
          <w:p>
            <w:r>
              <w:rPr>
                <w:rFonts w:ascii="Calibri" w:hAnsi="Calibri"/>
                <w:sz w:val="22"/>
              </w:rPr>
              <w:t>$332.3M</w:t>
            </w:r>
          </w:p>
        </w:tc>
        <w:tc>
          <w:tcPr>
            <w:tcW w:type="dxa" w:w="1440"/>
          </w:tcPr>
          <w:p>
            <w:r>
              <w:rPr>
                <w:rFonts w:ascii="Calibri" w:hAnsi="Calibri"/>
                <w:b/>
                <w:color w:val="30A46C"/>
                <w:sz w:val="22"/>
              </w:rPr>
              <w:t>+10.3%</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Total Revenue</w:t>
            </w:r>
          </w:p>
        </w:tc>
        <w:tc>
          <w:tcPr>
            <w:tcW w:type="dxa" w:w="1440"/>
          </w:tcPr>
          <w:p>
            <w:r>
              <w:rPr>
                <w:rFonts w:ascii="Calibri" w:hAnsi="Calibri"/>
                <w:sz w:val="22"/>
              </w:rPr>
              <w:t>$1,124.5M</w:t>
            </w:r>
          </w:p>
        </w:tc>
        <w:tc>
          <w:tcPr>
            <w:tcW w:type="dxa" w:w="1440"/>
          </w:tcPr>
          <w:p>
            <w:r>
              <w:rPr>
                <w:rFonts w:ascii="Calibri" w:hAnsi="Calibri"/>
                <w:sz w:val="22"/>
              </w:rPr>
              <w:t>$1,114.0M</w:t>
            </w:r>
          </w:p>
        </w:tc>
        <w:tc>
          <w:tcPr>
            <w:tcW w:type="dxa" w:w="1440"/>
          </w:tcPr>
          <w:p>
            <w:r>
              <w:rPr>
                <w:rFonts w:ascii="Calibri" w:hAnsi="Calibri"/>
                <w:b/>
                <w:color w:val="30A46C"/>
                <w:sz w:val="22"/>
              </w:rPr>
              <w:t>+0.9%</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Norm. EBITDA</w:t>
            </w:r>
          </w:p>
        </w:tc>
        <w:tc>
          <w:tcPr>
            <w:tcW w:type="dxa" w:w="1440"/>
          </w:tcPr>
          <w:p>
            <w:r>
              <w:rPr>
                <w:rFonts w:ascii="Calibri" w:hAnsi="Calibri"/>
                <w:sz w:val="22"/>
              </w:rPr>
              <w:t>$331.7M</w:t>
            </w:r>
          </w:p>
        </w:tc>
        <w:tc>
          <w:tcPr>
            <w:tcW w:type="dxa" w:w="1440"/>
          </w:tcPr>
          <w:p>
            <w:r>
              <w:rPr>
                <w:rFonts w:ascii="Calibri" w:hAnsi="Calibri"/>
                <w:sz w:val="22"/>
              </w:rPr>
              <w:t>$313.5M</w:t>
            </w:r>
          </w:p>
        </w:tc>
        <w:tc>
          <w:tcPr>
            <w:tcW w:type="dxa" w:w="1440"/>
          </w:tcPr>
          <w:p>
            <w:r>
              <w:rPr>
                <w:rFonts w:ascii="Calibri" w:hAnsi="Calibri"/>
                <w:b/>
                <w:color w:val="30A46C"/>
                <w:sz w:val="22"/>
              </w:rPr>
              <w:t>+5.8%</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GDDY has beaten consensus on both Total Revenue and Normalized EBITDA in each of the last 8 quarters, with EBITDA surprises consistently larger than revenue surprises — suggesting the Street systematically underestimates margin leverage. The average EBITDA beat over this period is approximately +4%, while revenue beats average ~+1%. Source: Visible Alpha.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is unchanged since the Q1 2026 earnings call — full-year revenue and EBITDA targets reaffirmed. Management tone has remained confident, with the Evercore TMT Conference (June 2) reinforcing early Airo AI Builder momentum and organic growth without dedicated marketing.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Total Revenue</w:t>
            </w:r>
          </w:p>
        </w:tc>
        <w:tc>
          <w:tcPr>
            <w:tcW w:type="dxa" w:w="1728"/>
          </w:tcPr>
          <w:p>
            <w:r>
              <w:rPr>
                <w:rFonts w:ascii="Calibri" w:hAnsi="Calibri"/>
                <w:sz w:val="22"/>
              </w:rPr>
              <w:t>$1.285B–$1.305B (~6% growth at midpoint)</w:t>
            </w:r>
          </w:p>
        </w:tc>
        <w:tc>
          <w:tcPr>
            <w:tcW w:type="dxa" w:w="1728"/>
          </w:tcPr>
          <w:p>
            <w:r>
              <w:rPr>
                <w:rFonts w:ascii="Calibri" w:hAnsi="Calibri"/>
                <w:sz w:val="22"/>
              </w:rPr>
              <w:t>—</w:t>
            </w:r>
          </w:p>
        </w:tc>
        <w:tc>
          <w:tcPr>
            <w:tcW w:type="dxa" w:w="1728"/>
          </w:tcPr>
          <w:p>
            <w:r>
              <w:rPr>
                <w:rFonts w:ascii="Calibri" w:hAnsi="Calibri"/>
                <w:sz w:val="22"/>
              </w:rPr>
              <w:t>$1.295B</w:t>
            </w:r>
          </w:p>
        </w:tc>
        <w:tc>
          <w:tcPr>
            <w:tcW w:type="dxa" w:w="1728"/>
          </w:tcPr>
          <w:p>
            <w:r>
              <w:rPr>
                <w:rFonts w:ascii="Calibri" w:hAnsi="Calibri"/>
                <w:sz w:val="22"/>
              </w:rPr>
              <w:t>Unchanged; consensus at midpoint</w:t>
            </w:r>
          </w:p>
        </w:tc>
      </w:tr>
      <w:tr>
        <w:tc>
          <w:tcPr>
            <w:tcW w:type="dxa" w:w="1728"/>
          </w:tcPr>
          <w:p>
            <w:r>
              <w:rPr>
                <w:rFonts w:ascii="Calibri" w:hAnsi="Calibri"/>
                <w:sz w:val="22"/>
              </w:rPr>
              <w:t>Q2 2026 Norm. EBITDA Margin</w:t>
            </w:r>
          </w:p>
        </w:tc>
        <w:tc>
          <w:tcPr>
            <w:tcW w:type="dxa" w:w="1728"/>
          </w:tcPr>
          <w:p>
            <w:r>
              <w:rPr>
                <w:rFonts w:ascii="Calibri" w:hAnsi="Calibri"/>
                <w:sz w:val="22"/>
              </w:rPr>
              <w:t>~33%</w:t>
            </w:r>
          </w:p>
        </w:tc>
        <w:tc>
          <w:tcPr>
            <w:tcW w:type="dxa" w:w="1728"/>
          </w:tcPr>
          <w:p>
            <w:r>
              <w:rPr>
                <w:rFonts w:ascii="Calibri" w:hAnsi="Calibri"/>
                <w:sz w:val="22"/>
              </w:rPr>
              <w:t>—</w:t>
            </w:r>
          </w:p>
        </w:tc>
        <w:tc>
          <w:tcPr>
            <w:tcW w:type="dxa" w:w="1728"/>
          </w:tcPr>
          <w:p>
            <w:r>
              <w:rPr>
                <w:rFonts w:ascii="Calibri" w:hAnsi="Calibri"/>
                <w:sz w:val="22"/>
              </w:rPr>
              <w:t>~32.9% implied</w:t>
            </w:r>
          </w:p>
        </w:tc>
        <w:tc>
          <w:tcPr>
            <w:tcW w:type="dxa" w:w="1728"/>
          </w:tcPr>
          <w:p>
            <w:r>
              <w:rPr>
                <w:rFonts w:ascii="Calibri" w:hAnsi="Calibri"/>
                <w:sz w:val="22"/>
              </w:rPr>
              <w:t>Unchanged; consensus in line</w:t>
            </w:r>
          </w:p>
        </w:tc>
      </w:tr>
      <w:tr>
        <w:tc>
          <w:tcPr>
            <w:tcW w:type="dxa" w:w="1728"/>
          </w:tcPr>
          <w:p>
            <w:r>
              <w:rPr>
                <w:rFonts w:ascii="Calibri" w:hAnsi="Calibri"/>
                <w:sz w:val="22"/>
              </w:rPr>
              <w:t>FY 2026 Total Revenue</w:t>
            </w:r>
          </w:p>
        </w:tc>
        <w:tc>
          <w:tcPr>
            <w:tcW w:type="dxa" w:w="1728"/>
          </w:tcPr>
          <w:p>
            <w:r>
              <w:rPr>
                <w:rFonts w:ascii="Calibri" w:hAnsi="Calibri"/>
                <w:sz w:val="22"/>
              </w:rPr>
              <w:t>$5.195B–$5.275B (~6% growth at midpoint)</w:t>
            </w:r>
          </w:p>
        </w:tc>
        <w:tc>
          <w:tcPr>
            <w:tcW w:type="dxa" w:w="1728"/>
          </w:tcPr>
          <w:p>
            <w:r>
              <w:rPr>
                <w:rFonts w:ascii="Calibri" w:hAnsi="Calibri"/>
                <w:sz w:val="22"/>
              </w:rPr>
              <w:t>—</w:t>
            </w:r>
          </w:p>
        </w:tc>
        <w:tc>
          <w:tcPr>
            <w:tcW w:type="dxa" w:w="1728"/>
          </w:tcPr>
          <w:p>
            <w:r>
              <w:rPr>
                <w:rFonts w:ascii="Calibri" w:hAnsi="Calibri"/>
                <w:sz w:val="22"/>
              </w:rPr>
              <w:t>$5.245B</w:t>
            </w:r>
          </w:p>
        </w:tc>
        <w:tc>
          <w:tcPr>
            <w:tcW w:type="dxa" w:w="1728"/>
          </w:tcPr>
          <w:p>
            <w:r>
              <w:rPr>
                <w:rFonts w:ascii="Calibri" w:hAnsi="Calibri"/>
                <w:sz w:val="22"/>
              </w:rPr>
              <w:t>Reaffirmed; consensus slightly below midpoint ($5.235B)</w:t>
            </w:r>
          </w:p>
        </w:tc>
      </w:tr>
      <w:tr>
        <w:tc>
          <w:tcPr>
            <w:tcW w:type="dxa" w:w="1728"/>
          </w:tcPr>
          <w:p>
            <w:r>
              <w:rPr>
                <w:rFonts w:ascii="Calibri" w:hAnsi="Calibri"/>
                <w:sz w:val="22"/>
              </w:rPr>
              <w:t>FY 2026 Norm. EBITDA Margin</w:t>
            </w:r>
          </w:p>
        </w:tc>
        <w:tc>
          <w:tcPr>
            <w:tcW w:type="dxa" w:w="1728"/>
          </w:tcPr>
          <w:p>
            <w:r>
              <w:rPr>
                <w:rFonts w:ascii="Calibri" w:hAnsi="Calibri"/>
                <w:sz w:val="22"/>
              </w:rPr>
              <w:t>&gt;33%</w:t>
            </w:r>
          </w:p>
        </w:tc>
        <w:tc>
          <w:tcPr>
            <w:tcW w:type="dxa" w:w="1728"/>
          </w:tcPr>
          <w:p>
            <w:r>
              <w:rPr>
                <w:rFonts w:ascii="Calibri" w:hAnsi="Calibri"/>
                <w:sz w:val="22"/>
              </w:rPr>
              <w:t>—</w:t>
            </w:r>
          </w:p>
        </w:tc>
        <w:tc>
          <w:tcPr>
            <w:tcW w:type="dxa" w:w="1728"/>
          </w:tcPr>
          <w:p>
            <w:r>
              <w:rPr>
                <w:rFonts w:ascii="Calibri" w:hAnsi="Calibri"/>
                <w:sz w:val="22"/>
              </w:rPr>
              <w:t>~33.4% implied ($1.751B)</w:t>
            </w:r>
          </w:p>
        </w:tc>
        <w:tc>
          <w:tcPr>
            <w:tcW w:type="dxa" w:w="1728"/>
          </w:tcPr>
          <w:p>
            <w:r>
              <w:rPr>
                <w:rFonts w:ascii="Calibri" w:hAnsi="Calibri"/>
                <w:sz w:val="22"/>
              </w:rPr>
              <w:t>Reaffirmed; consensus above floor</w:t>
            </w:r>
          </w:p>
        </w:tc>
      </w:tr>
      <w:tr>
        <w:tc>
          <w:tcPr>
            <w:tcW w:type="dxa" w:w="1728"/>
          </w:tcPr>
          <w:p>
            <w:r>
              <w:rPr>
                <w:rFonts w:ascii="Calibri" w:hAnsi="Calibri"/>
                <w:sz w:val="22"/>
              </w:rPr>
              <w:t>FY 2026 Free Cash Flow</w:t>
            </w:r>
          </w:p>
        </w:tc>
        <w:tc>
          <w:tcPr>
            <w:tcW w:type="dxa" w:w="1728"/>
          </w:tcPr>
          <w:p>
            <w:r>
              <w:rPr>
                <w:rFonts w:ascii="Calibri" w:hAnsi="Calibri"/>
                <w:sz w:val="22"/>
              </w:rPr>
              <w:t>~$1.8B (&gt;1:1 EBITDA conversion)</w:t>
            </w:r>
          </w:p>
        </w:tc>
        <w:tc>
          <w:tcPr>
            <w:tcW w:type="dxa" w:w="1728"/>
          </w:tcPr>
          <w:p>
            <w:r>
              <w:rPr>
                <w:rFonts w:ascii="Calibri" w:hAnsi="Calibri"/>
                <w:sz w:val="22"/>
              </w:rPr>
              <w:t>—</w:t>
            </w:r>
          </w:p>
        </w:tc>
        <w:tc>
          <w:tcPr>
            <w:tcW w:type="dxa" w:w="1728"/>
          </w:tcPr>
          <w:p>
            <w:r>
              <w:rPr>
                <w:rFonts w:ascii="Calibri" w:hAnsi="Calibri"/>
                <w:sz w:val="22"/>
              </w:rPr>
              <w:t>$1.812B</w:t>
            </w:r>
          </w:p>
        </w:tc>
        <w:tc>
          <w:tcPr>
            <w:tcW w:type="dxa" w:w="1728"/>
          </w:tcPr>
          <w:p>
            <w:r>
              <w:rPr>
                <w:rFonts w:ascii="Calibri" w:hAnsi="Calibri"/>
                <w:sz w:val="22"/>
              </w:rPr>
              <w:t>Reaffirmed; consensus slightly above target</w:t>
            </w:r>
          </w:p>
        </w:tc>
      </w:tr>
      <w:tr>
        <w:tc>
          <w:tcPr>
            <w:tcW w:type="dxa" w:w="1728"/>
          </w:tcPr>
          <w:p>
            <w:r>
              <w:rPr>
                <w:rFonts w:ascii="Calibri" w:hAnsi="Calibri"/>
                <w:sz w:val="22"/>
              </w:rPr>
              <w:t>A&amp;C Revenue Growth (Q2 &amp; FY)</w:t>
            </w:r>
          </w:p>
        </w:tc>
        <w:tc>
          <w:tcPr>
            <w:tcW w:type="dxa" w:w="1728"/>
          </w:tcPr>
          <w:p>
            <w:r>
              <w:rPr>
                <w:rFonts w:ascii="Calibri" w:hAnsi="Calibri"/>
                <w:sz w:val="22"/>
              </w:rPr>
              <w:t>Low double digits YoY</w:t>
            </w:r>
          </w:p>
        </w:tc>
        <w:tc>
          <w:tcPr>
            <w:tcW w:type="dxa" w:w="1728"/>
          </w:tcPr>
          <w:p>
            <w:r>
              <w:rPr>
                <w:rFonts w:ascii="Calibri" w:hAnsi="Calibri"/>
                <w:sz w:val="22"/>
              </w:rPr>
              <w:t>—</w:t>
            </w:r>
          </w:p>
        </w:tc>
        <w:tc>
          <w:tcPr>
            <w:tcW w:type="dxa" w:w="1728"/>
          </w:tcPr>
          <w:p>
            <w:r>
              <w:rPr>
                <w:rFonts w:ascii="Calibri" w:hAnsi="Calibri"/>
                <w:sz w:val="22"/>
              </w:rPr>
              <w:t>~11.6% YoY (Q2 est. $518M)</w:t>
            </w:r>
          </w:p>
        </w:tc>
        <w:tc>
          <w:tcPr>
            <w:tcW w:type="dxa" w:w="1728"/>
          </w:tcPr>
          <w:p>
            <w:r>
              <w:rPr>
                <w:rFonts w:ascii="Calibri" w:hAnsi="Calibri"/>
                <w:sz w:val="22"/>
              </w:rPr>
              <w:t>Unchanged; consensus in line with guidance</w:t>
            </w:r>
          </w:p>
        </w:tc>
      </w:tr>
      <w:tr>
        <w:tc>
          <w:tcPr>
            <w:tcW w:type="dxa" w:w="1728"/>
          </w:tcPr>
          <w:p>
            <w:r>
              <w:rPr>
                <w:rFonts w:ascii="Calibri" w:hAnsi="Calibri"/>
                <w:sz w:val="22"/>
              </w:rPr>
              <w:t>Core Platform Revenue Growth (Q2 &amp; FY)</w:t>
            </w:r>
          </w:p>
        </w:tc>
        <w:tc>
          <w:tcPr>
            <w:tcW w:type="dxa" w:w="1728"/>
          </w:tcPr>
          <w:p>
            <w:r>
              <w:rPr>
                <w:rFonts w:ascii="Calibri" w:hAnsi="Calibri"/>
                <w:sz w:val="22"/>
              </w:rPr>
              <w:t>Low single digits YoY</w:t>
            </w:r>
          </w:p>
        </w:tc>
        <w:tc>
          <w:tcPr>
            <w:tcW w:type="dxa" w:w="1728"/>
          </w:tcPr>
          <w:p>
            <w:r>
              <w:rPr>
                <w:rFonts w:ascii="Calibri" w:hAnsi="Calibri"/>
                <w:sz w:val="22"/>
              </w:rPr>
              <w:t>—</w:t>
            </w:r>
          </w:p>
        </w:tc>
        <w:tc>
          <w:tcPr>
            <w:tcW w:type="dxa" w:w="1728"/>
          </w:tcPr>
          <w:p>
            <w:r>
              <w:rPr>
                <w:rFonts w:ascii="Calibri" w:hAnsi="Calibri"/>
                <w:sz w:val="22"/>
              </w:rPr>
              <w:t>~2.9% YoY (Q2 est. $776M)</w:t>
            </w:r>
          </w:p>
        </w:tc>
        <w:tc>
          <w:tcPr>
            <w:tcW w:type="dxa" w:w="1728"/>
          </w:tcPr>
          <w:p>
            <w:r>
              <w:rPr>
                <w:rFonts w:ascii="Calibri" w:hAnsi="Calibri"/>
                <w:sz w:val="22"/>
              </w:rPr>
              <w:t>Unchanged; consensus in line with guidance</w:t>
            </w:r>
          </w:p>
        </w:tc>
      </w:tr>
      <w:tr>
        <w:tc>
          <w:tcPr>
            <w:tcW w:type="dxa" w:w="1728"/>
          </w:tcPr>
          <w:p>
            <w:r>
              <w:rPr>
                <w:rFonts w:ascii="Calibri" w:hAnsi="Calibri"/>
                <w:sz w:val="22"/>
              </w:rPr>
              <w:t>Bookings vs. Revenue Growth Parity</w:t>
            </w:r>
          </w:p>
        </w:tc>
        <w:tc>
          <w:tcPr>
            <w:tcW w:type="dxa" w:w="1728"/>
          </w:tcPr>
          <w:p>
            <w:r>
              <w:rPr>
                <w:rFonts w:ascii="Calibri" w:hAnsi="Calibri"/>
                <w:sz w:val="22"/>
              </w:rPr>
              <w:t>At or above parity for remainder of 2026 (Q1 was peak headwind)</w:t>
            </w:r>
          </w:p>
        </w:tc>
        <w:tc>
          <w:tcPr>
            <w:tcW w:type="dxa" w:w="1728"/>
          </w:tcPr>
          <w:p>
            <w:r>
              <w:rPr>
                <w:rFonts w:ascii="Calibri" w:hAnsi="Calibri"/>
                <w:sz w:val="22"/>
              </w:rPr>
              <w:t>—</w:t>
            </w:r>
          </w:p>
        </w:tc>
        <w:tc>
          <w:tcPr>
            <w:tcW w:type="dxa" w:w="1728"/>
          </w:tcPr>
          <w:p>
            <w:r>
              <w:rPr>
                <w:rFonts w:ascii="Calibri" w:hAnsi="Calibri"/>
                <w:sz w:val="22"/>
              </w:rPr>
              <w:t>Q2 bookings est. $1.428B (~+6.2% YoY)</w:t>
            </w:r>
          </w:p>
        </w:tc>
        <w:tc>
          <w:tcPr>
            <w:tcW w:type="dxa" w:w="1728"/>
          </w:tcPr>
          <w:p>
            <w:r>
              <w:rPr>
                <w:rFonts w:ascii="Calibri" w:hAnsi="Calibri"/>
                <w:sz w:val="22"/>
              </w:rPr>
              <w:t>Key test: Q2 is first quarter where parity is expected; Evercore TMT (Jun 2) confirmed organic Airo momentum</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remarkably stable since the Q1 2026 print — revenue and EBITDA consensus for Q2 and FY 2026 are essentially flat vs. the post-Q1 baseline, tracking guidance closely. The lack of downward revision despite elevated AI investment signals Street confidence in the margin framework; any upside to Airo monetization is not yet in numbers.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 ~5 Days Post Q1 (May 5, 2026)</w:t>
            </w:r>
          </w:p>
        </w:tc>
        <w:tc>
          <w:tcPr>
            <w:tcW w:type="dxa" w:w="1080"/>
            <w:shd w:val="clear" w:color="auto" w:fill="3B4259"/>
          </w:tcPr>
          <w:p>
            <w:r>
              <w:rPr>
                <w:rFonts w:ascii="Calibri" w:hAnsi="Calibri"/>
                <w:b/>
                <w:color w:val="FFFFFF"/>
                <w:sz w:val="22"/>
              </w:rPr>
              <w:t>Current Consensus (Jul 29, 2026)</w:t>
            </w:r>
          </w:p>
        </w:tc>
        <w:tc>
          <w:tcPr>
            <w:tcW w:type="dxa" w:w="1080"/>
            <w:shd w:val="clear" w:color="auto" w:fill="3B4259"/>
          </w:tcPr>
          <w:p>
            <w:r>
              <w:rPr>
                <w:rFonts w:ascii="Calibri" w:hAnsi="Calibri"/>
                <w:b/>
                <w:color w:val="FFFFFF"/>
                <w:sz w:val="22"/>
              </w:rPr>
              <w:t>Est.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Total Revenue — Q2 2026</w:t>
            </w:r>
          </w:p>
        </w:tc>
        <w:tc>
          <w:tcPr>
            <w:tcW w:type="dxa" w:w="1080"/>
          </w:tcPr>
          <w:p>
            <w:r>
              <w:rPr>
                <w:rFonts w:ascii="Calibri" w:hAnsi="Calibri"/>
                <w:sz w:val="22"/>
              </w:rPr>
              <w:t>$1,294.6M</w:t>
            </w:r>
          </w:p>
        </w:tc>
        <w:tc>
          <w:tcPr>
            <w:tcW w:type="dxa" w:w="1080"/>
          </w:tcPr>
          <w:p>
            <w:r>
              <w:rPr>
                <w:rFonts w:ascii="Calibri" w:hAnsi="Calibri"/>
                <w:sz w:val="22"/>
              </w:rPr>
              <w:t>$1,294.5M</w:t>
            </w:r>
          </w:p>
        </w:tc>
        <w:tc>
          <w:tcPr>
            <w:tcW w:type="dxa" w:w="1080"/>
          </w:tcPr>
          <w:p>
            <w:r>
              <w:rPr>
                <w:rFonts w:ascii="Calibri" w:hAnsi="Calibri"/>
                <w:sz w:val="22"/>
              </w:rPr>
              <w:t>~0.0%</w:t>
            </w:r>
          </w:p>
        </w:tc>
        <w:tc>
          <w:tcPr>
            <w:tcW w:type="dxa" w:w="1080"/>
          </w:tcPr>
          <w:p>
            <w:r>
              <w:rPr>
                <w:rFonts w:ascii="Calibri" w:hAnsi="Calibri"/>
                <w:sz w:val="22"/>
              </w:rPr>
              <w:t>$1,285–$1,305M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0.0% vs. mid</w:t>
            </w:r>
          </w:p>
        </w:tc>
      </w:tr>
      <w:tr>
        <w:tc>
          <w:tcPr>
            <w:tcW w:type="dxa" w:w="1080"/>
          </w:tcPr>
          <w:p>
            <w:r>
              <w:rPr>
                <w:rFonts w:ascii="Calibri" w:hAnsi="Calibri"/>
                <w:sz w:val="22"/>
              </w:rPr>
              <w:t>Total Revenue — FY 2026</w:t>
            </w:r>
          </w:p>
        </w:tc>
        <w:tc>
          <w:tcPr>
            <w:tcW w:type="dxa" w:w="1080"/>
          </w:tcPr>
          <w:p>
            <w:r>
              <w:rPr>
                <w:rFonts w:ascii="Calibri" w:hAnsi="Calibri"/>
                <w:sz w:val="22"/>
              </w:rPr>
              <w:t>$5,245.7M</w:t>
            </w:r>
          </w:p>
        </w:tc>
        <w:tc>
          <w:tcPr>
            <w:tcW w:type="dxa" w:w="1080"/>
          </w:tcPr>
          <w:p>
            <w:r>
              <w:rPr>
                <w:rFonts w:ascii="Calibri" w:hAnsi="Calibri"/>
                <w:sz w:val="22"/>
              </w:rPr>
              <w:t>$5,244.8M</w:t>
            </w:r>
          </w:p>
        </w:tc>
        <w:tc>
          <w:tcPr>
            <w:tcW w:type="dxa" w:w="1080"/>
          </w:tcPr>
          <w:p>
            <w:r>
              <w:rPr>
                <w:rFonts w:ascii="Calibri" w:hAnsi="Calibri"/>
                <w:sz w:val="22"/>
              </w:rPr>
              <w:t>~0.0%</w:t>
            </w:r>
          </w:p>
        </w:tc>
        <w:tc>
          <w:tcPr>
            <w:tcW w:type="dxa" w:w="1080"/>
          </w:tcPr>
          <w:p>
            <w:r>
              <w:rPr>
                <w:rFonts w:ascii="Calibri" w:hAnsi="Calibri"/>
                <w:sz w:val="22"/>
              </w:rPr>
              <w:t>$5,195–$5,275M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 vs. mid</w:t>
            </w:r>
          </w:p>
        </w:tc>
      </w:tr>
      <w:tr>
        <w:tc>
          <w:tcPr>
            <w:tcW w:type="dxa" w:w="1080"/>
          </w:tcPr>
          <w:p>
            <w:r>
              <w:rPr>
                <w:rFonts w:ascii="Calibri" w:hAnsi="Calibri"/>
                <w:sz w:val="22"/>
              </w:rPr>
              <w:t>Norm. EBITDA — Q2 2026</w:t>
            </w:r>
          </w:p>
        </w:tc>
        <w:tc>
          <w:tcPr>
            <w:tcW w:type="dxa" w:w="1080"/>
          </w:tcPr>
          <w:p>
            <w:r>
              <w:rPr>
                <w:rFonts w:ascii="Calibri" w:hAnsi="Calibri"/>
                <w:sz w:val="22"/>
              </w:rPr>
              <w:t>$426.9M</w:t>
            </w:r>
          </w:p>
        </w:tc>
        <w:tc>
          <w:tcPr>
            <w:tcW w:type="dxa" w:w="1080"/>
          </w:tcPr>
          <w:p>
            <w:r>
              <w:rPr>
                <w:rFonts w:ascii="Calibri" w:hAnsi="Calibri"/>
                <w:sz w:val="22"/>
              </w:rPr>
              <w:t>$426.9M</w:t>
            </w:r>
          </w:p>
        </w:tc>
        <w:tc>
          <w:tcPr>
            <w:tcW w:type="dxa" w:w="1080"/>
          </w:tcPr>
          <w:p>
            <w:r>
              <w:rPr>
                <w:rFonts w:ascii="Calibri" w:hAnsi="Calibri"/>
                <w:sz w:val="22"/>
              </w:rPr>
              <w:t>0.0%</w:t>
            </w:r>
          </w:p>
        </w:tc>
        <w:tc>
          <w:tcPr>
            <w:tcW w:type="dxa" w:w="1080"/>
          </w:tcPr>
          <w:p>
            <w:r>
              <w:rPr>
                <w:rFonts w:ascii="Calibri" w:hAnsi="Calibri"/>
                <w:sz w:val="22"/>
              </w:rPr>
              <w:t>~33% margin (~$427M)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 vs. implied</w:t>
            </w:r>
          </w:p>
        </w:tc>
      </w:tr>
      <w:tr>
        <w:tc>
          <w:tcPr>
            <w:tcW w:type="dxa" w:w="1080"/>
          </w:tcPr>
          <w:p>
            <w:r>
              <w:rPr>
                <w:rFonts w:ascii="Calibri" w:hAnsi="Calibri"/>
                <w:sz w:val="22"/>
              </w:rPr>
              <w:t>Norm. EBITDA — FY 2026</w:t>
            </w:r>
          </w:p>
        </w:tc>
        <w:tc>
          <w:tcPr>
            <w:tcW w:type="dxa" w:w="1080"/>
          </w:tcPr>
          <w:p>
            <w:r>
              <w:rPr>
                <w:rFonts w:ascii="Calibri" w:hAnsi="Calibri"/>
                <w:sz w:val="22"/>
              </w:rPr>
              <w:t>$1,751.7M</w:t>
            </w:r>
          </w:p>
        </w:tc>
        <w:tc>
          <w:tcPr>
            <w:tcW w:type="dxa" w:w="1080"/>
          </w:tcPr>
          <w:p>
            <w:r>
              <w:rPr>
                <w:rFonts w:ascii="Calibri" w:hAnsi="Calibri"/>
                <w:sz w:val="22"/>
              </w:rPr>
              <w:t>$1,750.9M</w:t>
            </w:r>
          </w:p>
        </w:tc>
        <w:tc>
          <w:tcPr>
            <w:tcW w:type="dxa" w:w="1080"/>
          </w:tcPr>
          <w:p>
            <w:r>
              <w:rPr>
                <w:rFonts w:ascii="Calibri" w:hAnsi="Calibri"/>
                <w:sz w:val="22"/>
              </w:rPr>
              <w:t>~0.0%</w:t>
            </w:r>
          </w:p>
        </w:tc>
        <w:tc>
          <w:tcPr>
            <w:tcW w:type="dxa" w:w="1080"/>
          </w:tcPr>
          <w:p>
            <w:r>
              <w:rPr>
                <w:rFonts w:ascii="Calibri" w:hAnsi="Calibri"/>
                <w:sz w:val="22"/>
              </w:rPr>
              <w:t>&gt;33% margin</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Above floor</w:t>
            </w:r>
          </w:p>
        </w:tc>
      </w:tr>
      <w:tr>
        <w:tc>
          <w:tcPr>
            <w:tcW w:type="dxa" w:w="1080"/>
          </w:tcPr>
          <w:p>
            <w:r>
              <w:rPr>
                <w:rFonts w:ascii="Calibri" w:hAnsi="Calibri"/>
                <w:sz w:val="22"/>
              </w:rPr>
              <w:t>Adj. EPS — Q2 2026</w:t>
            </w:r>
          </w:p>
        </w:tc>
        <w:tc>
          <w:tcPr>
            <w:tcW w:type="dxa" w:w="1080"/>
          </w:tcPr>
          <w:p>
            <w:r>
              <w:rPr>
                <w:rFonts w:ascii="Calibri" w:hAnsi="Calibri"/>
                <w:sz w:val="22"/>
              </w:rPr>
              <w:t>$2.22</w:t>
            </w:r>
          </w:p>
        </w:tc>
        <w:tc>
          <w:tcPr>
            <w:tcW w:type="dxa" w:w="1080"/>
          </w:tcPr>
          <w:p>
            <w:r>
              <w:rPr>
                <w:rFonts w:ascii="Calibri" w:hAnsi="Calibri"/>
                <w:sz w:val="22"/>
              </w:rPr>
              <w:t>$2.22</w:t>
            </w:r>
          </w:p>
        </w:tc>
        <w:tc>
          <w:tcPr>
            <w:tcW w:type="dxa" w:w="1080"/>
          </w:tcPr>
          <w:p>
            <w:r>
              <w:rPr>
                <w:rFonts w:ascii="Calibri" w:hAnsi="Calibri"/>
                <w:sz w:val="22"/>
              </w:rPr>
              <w:t>0.0%</w:t>
            </w:r>
          </w:p>
        </w:tc>
        <w:tc>
          <w:tcPr>
            <w:tcW w:type="dxa" w:w="1080"/>
          </w:tcPr>
          <w:p>
            <w:r>
              <w:rPr>
                <w:rFonts w:ascii="Calibri" w:hAnsi="Calibri"/>
                <w:sz w:val="22"/>
              </w:rPr>
              <w:t>Not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EPS — FY 2026</w:t>
            </w:r>
          </w:p>
        </w:tc>
        <w:tc>
          <w:tcPr>
            <w:tcW w:type="dxa" w:w="1080"/>
          </w:tcPr>
          <w:p>
            <w:r>
              <w:rPr>
                <w:rFonts w:ascii="Calibri" w:hAnsi="Calibri"/>
                <w:sz w:val="22"/>
              </w:rPr>
              <w:t>$9.23</w:t>
            </w:r>
          </w:p>
        </w:tc>
        <w:tc>
          <w:tcPr>
            <w:tcW w:type="dxa" w:w="1080"/>
          </w:tcPr>
          <w:p>
            <w:r>
              <w:rPr>
                <w:rFonts w:ascii="Calibri" w:hAnsi="Calibri"/>
                <w:sz w:val="22"/>
              </w:rPr>
              <w:t>$9.23</w:t>
            </w:r>
          </w:p>
        </w:tc>
        <w:tc>
          <w:tcPr>
            <w:tcW w:type="dxa" w:w="1080"/>
          </w:tcPr>
          <w:p>
            <w:r>
              <w:rPr>
                <w:rFonts w:ascii="Calibri" w:hAnsi="Calibri"/>
                <w:sz w:val="22"/>
              </w:rPr>
              <w:t>0.0%</w:t>
            </w:r>
          </w:p>
        </w:tc>
        <w:tc>
          <w:tcPr>
            <w:tcW w:type="dxa" w:w="1080"/>
          </w:tcPr>
          <w:p>
            <w:r>
              <w:rPr>
                <w:rFonts w:ascii="Calibri" w:hAnsi="Calibri"/>
                <w:sz w:val="22"/>
              </w:rPr>
              <w:t>Not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Free Cash Flow — FY 2026</w:t>
            </w:r>
          </w:p>
        </w:tc>
        <w:tc>
          <w:tcPr>
            <w:tcW w:type="dxa" w:w="1080"/>
          </w:tcPr>
          <w:p>
            <w:r>
              <w:rPr>
                <w:rFonts w:ascii="Calibri" w:hAnsi="Calibri"/>
                <w:sz w:val="22"/>
              </w:rPr>
              <w:t>$1,808.4M</w:t>
            </w:r>
          </w:p>
        </w:tc>
        <w:tc>
          <w:tcPr>
            <w:tcW w:type="dxa" w:w="1080"/>
          </w:tcPr>
          <w:p>
            <w:r>
              <w:rPr>
                <w:rFonts w:ascii="Calibri" w:hAnsi="Calibri"/>
                <w:sz w:val="22"/>
              </w:rPr>
              <w:t>$1,811.8M</w:t>
            </w:r>
          </w:p>
        </w:tc>
        <w:tc>
          <w:tcPr>
            <w:tcW w:type="dxa" w:w="1080"/>
          </w:tcPr>
          <w:p>
            <w:r>
              <w:rPr>
                <w:rFonts w:ascii="Calibri" w:hAnsi="Calibri"/>
                <w:sz w:val="22"/>
              </w:rPr>
              <w:t>+0.2%</w:t>
            </w:r>
          </w:p>
        </w:tc>
        <w:tc>
          <w:tcPr>
            <w:tcW w:type="dxa" w:w="1080"/>
          </w:tcPr>
          <w:p>
            <w:r>
              <w:rPr>
                <w:rFonts w:ascii="Calibri" w:hAnsi="Calibri"/>
                <w:sz w:val="22"/>
              </w:rPr>
              <w:t>~$1.8B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+0.7% vs. target</w:t>
            </w:r>
          </w:p>
        </w:tc>
      </w:tr>
      <w:tr>
        <w:tc>
          <w:tcPr>
            <w:tcW w:type="dxa" w:w="1080"/>
          </w:tcPr>
          <w:p>
            <w:r>
              <w:rPr>
                <w:rFonts w:ascii="Calibri" w:hAnsi="Calibri"/>
                <w:sz w:val="22"/>
              </w:rPr>
              <w:t>ARR — Q2 2026</w:t>
            </w:r>
          </w:p>
        </w:tc>
        <w:tc>
          <w:tcPr>
            <w:tcW w:type="dxa" w:w="1080"/>
          </w:tcPr>
          <w:p>
            <w:r>
              <w:rPr>
                <w:rFonts w:ascii="Calibri" w:hAnsi="Calibri"/>
                <w:sz w:val="22"/>
              </w:rPr>
              <w:t>$4,426.0M</w:t>
            </w:r>
          </w:p>
        </w:tc>
        <w:tc>
          <w:tcPr>
            <w:tcW w:type="dxa" w:w="1080"/>
          </w:tcPr>
          <w:p>
            <w:r>
              <w:rPr>
                <w:rFonts w:ascii="Calibri" w:hAnsi="Calibri"/>
                <w:sz w:val="22"/>
              </w:rPr>
              <w:t>$4,426.0M</w:t>
            </w:r>
          </w:p>
        </w:tc>
        <w:tc>
          <w:tcPr>
            <w:tcW w:type="dxa" w:w="1080"/>
          </w:tcPr>
          <w:p>
            <w:r>
              <w:rPr>
                <w:rFonts w:ascii="Calibri" w:hAnsi="Calibri"/>
                <w:sz w:val="22"/>
              </w:rPr>
              <w:t>0.0%</w:t>
            </w:r>
          </w:p>
        </w:tc>
        <w:tc>
          <w:tcPr>
            <w:tcW w:type="dxa" w:w="1080"/>
          </w:tcPr>
          <w:p>
            <w:r>
              <w:rPr>
                <w:rFonts w:ascii="Calibri" w:hAnsi="Calibri"/>
                <w:sz w:val="22"/>
              </w:rPr>
              <w:t>Not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Estimates have been essentially frozen since the Q1 print, with near-zero revision across all KPIs. This reflects a Street that is anchored to guidance and waiting for Q2 execution proof — particularly on bookings-revenue parity and Airo AI Builder contribution — before moving numbers. Source: Visible Alpha.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GDDY significantly underperformed IGV and the S&amp;P 500 from late May through mid-June (down ~13% peak-to-trough vs. IGV flat), driven by multiple compression and macro concerns, before staging a sharp recovery in late July on pre-earnings momentum. The stock is up ~21% from its June lows but still lags IGV on a since-earnings basis, suggesting the re-rating is sentiment-driven rather than estimate-driven.</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GDDY vs. IGV (iShares Expanded Tech-Software ETF) vs. S&amp;P 500 (SPY) — Indexed to 100 at April 30, 2026 (Q1 2026 earnings date). Source: Yahoo Finance.</w:t>
      </w:r>
    </w:p>
    <w:p>
      <w:r>
        <w:rPr>
          <w:rFonts w:ascii="Calibri" w:hAnsi="Calibri"/>
          <w:color w:val="525866"/>
          <w:sz w:val="22"/>
        </w:rPr>
        <w:t xml:space="preserve">Since the Q1 2026 earnings print on April 30, GDDY has delivered a total indexed return of approximately </w:t>
      </w:r>
      <w:r>
        <w:rPr>
          <w:rFonts w:ascii="Calibri" w:hAnsi="Calibri"/>
          <w:b/>
          <w:color w:val="525866"/>
          <w:sz w:val="22"/>
        </w:rPr>
        <w:t>+21%</w:t>
      </w:r>
      <w:r>
        <w:rPr>
          <w:rFonts w:ascii="Calibri" w:hAnsi="Calibri"/>
          <w:color w:val="525866"/>
          <w:sz w:val="22"/>
        </w:rPr>
        <w:t xml:space="preserve"> (to ~$105 as of July 30), compared to IGV at approximately </w:t>
      </w:r>
      <w:r>
        <w:rPr>
          <w:rFonts w:ascii="Calibri" w:hAnsi="Calibri"/>
          <w:b/>
          <w:color w:val="525866"/>
          <w:sz w:val="22"/>
        </w:rPr>
        <w:t>+10%</w:t>
      </w:r>
      <w:r>
        <w:rPr>
          <w:rFonts w:ascii="Calibri" w:hAnsi="Calibri"/>
          <w:color w:val="525866"/>
          <w:sz w:val="22"/>
        </w:rPr>
        <w:t xml:space="preserve"> and SPY at approximately </w:t>
      </w:r>
      <w:r>
        <w:rPr>
          <w:rFonts w:ascii="Calibri" w:hAnsi="Calibri"/>
          <w:b/>
          <w:color w:val="525866"/>
          <w:sz w:val="22"/>
        </w:rPr>
        <w:t>+2%</w:t>
      </w:r>
      <w:r>
        <w:rPr>
          <w:rFonts w:ascii="Calibri" w:hAnsi="Calibri"/>
          <w:color w:val="525866"/>
          <w:sz w:val="22"/>
        </w:rPr>
        <w:t xml:space="preserve">. However, the path was highly non-linear: GDDY initially lagged badly through late May and June, falling to ~$75 (indexed ~87) while IGV held near 100–110, before a sharp reversal in the final two weeks of July. The June underperformance coincided with JPMorgan cutting its price target from $154 to $124 (June 18) and broader software sector pressure. The late-July rally appears to be pre-earnings positioning rather than estimate revision, as consensus numbers have been flat since May. The sector ETF used is </w:t>
      </w:r>
      <w:r>
        <w:rPr>
          <w:rFonts w:ascii="Calibri" w:hAnsi="Calibri"/>
          <w:b/>
          <w:color w:val="525866"/>
          <w:sz w:val="22"/>
        </w:rPr>
        <w:t>IGV (iShares Expanded Tech-Software ETF)</w:t>
      </w:r>
      <w:r>
        <w:rPr>
          <w:rFonts w:ascii="Calibri" w:hAnsi="Calibri"/>
          <w:color w:val="525866"/>
          <w:sz w:val="22"/>
        </w:rPr>
        <w:t>, which is appropriate for GDDY’s web services and software-adjacent positioning. Source: Yahoo Finance / Stock Price Data.</w:t>
      </w:r>
    </w:p>
    <w:p>
      <w:pPr>
        <w:pStyle w:val="Heading2"/>
      </w:pPr>
      <w:r>
        <w:rPr>
          <w:rFonts w:ascii="Calibri" w:hAnsi="Calibri"/>
          <w:b/>
          <w:color w:val="3B4259"/>
          <w:sz w:val="28"/>
        </w:rPr>
        <w:t>6. Peer Commentaries — Q2 2026 Read-Throughs</w:t>
      </w:r>
    </w:p>
    <w:p>
      <w:r>
        <w:rPr>
          <w:rFonts w:ascii="Calibri" w:hAnsi="Calibri"/>
          <w:b/>
          <w:color w:val="525866"/>
          <w:sz w:val="22"/>
        </w:rPr>
        <w:t xml:space="preserve">Key Takeaway: </w:t>
      </w:r>
      <w:r>
        <w:rPr>
          <w:rFonts w:ascii="Calibri" w:hAnsi="Calibri"/>
          <w:color w:val="525866"/>
          <w:sz w:val="22"/>
        </w:rPr>
        <w:t>Three peers reported in the last 60 days with directly relevant read-throughs for GDDY’s Q2 2026 print: VeriSign (VRSN, reported July 23) confirms record domain demand driven by AI tailwinds; Shopify (SHOP, reported May 5) signals robust SMB formation and AI-driven commerce acceleration; and Wix (WIX, reported May 13) shows strong high-intent user cohort monetization but softer GPV from macro pressure on SMBs. All three are net positives for GDDY’s domain and A&amp;C segments.</w:t>
      </w:r>
    </w:p>
    <w:p>
      <w:pPr>
        <w:pStyle w:val="Heading3"/>
      </w:pPr>
      <w:r>
        <w:rPr>
          <w:rFonts w:ascii="Calibri" w:hAnsi="Calibri"/>
          <w:b/>
          <w:color w:val="3B4259"/>
          <w:sz w:val="24"/>
        </w:rPr>
        <w:t>VeriSign (VRSN) — Q2 2026 Earnings (Reported July 23, 2026)</w:t>
      </w:r>
    </w:p>
    <w:p>
      <w:r>
        <w:rPr>
          <w:rFonts w:ascii="Calibri" w:hAnsi="Calibri"/>
          <w:b/>
          <w:color w:val="525866"/>
          <w:sz w:val="22"/>
        </w:rPr>
        <w:t xml:space="preserve">Relevance: </w:t>
      </w:r>
      <w:r>
        <w:rPr>
          <w:rFonts w:ascii="Calibri" w:hAnsi="Calibri"/>
          <w:color w:val="525866"/>
          <w:sz w:val="22"/>
        </w:rPr>
        <w:t>VRSN is the .com/.net registry operator and GoDaddy’s largest domain supplier. VRSN’s Q2 results are the most direct read-through for GDDY’s domain registration volumes and Core Platform revenue.</w:t>
      </w:r>
    </w:p>
    <w:p>
      <w:pPr>
        <w:pStyle w:val="ListBullet"/>
        <w:ind w:left="360" w:hanging="360"/>
      </w:pPr>
      <w:r>
        <w:rPr>
          <w:rFonts w:ascii="Calibri" w:hAnsi="Calibri"/>
          <w:b/>
          <w:color w:val="525866"/>
          <w:sz w:val="22"/>
        </w:rPr>
        <w:t xml:space="preserve">Record domain registrations: </w:t>
      </w:r>
      <w:r>
        <w:rPr>
          <w:rFonts w:ascii="Calibri" w:hAnsi="Calibri"/>
          <w:color w:val="525866"/>
          <w:sz w:val="22"/>
        </w:rPr>
        <w:t xml:space="preserve">VRSN reported a record 12.7 million new .com/.net registrations in Q2 2026, up 21% YoY (vs. 10.4M in Q2 2025 and 11.5M in Q1 2026). The combined .com/.net base reached 179.1 million names. This is the largest quarterly new registration figure in VRSN’s history. </w:t>
      </w:r>
    </w:p>
    <w:p>
      <w:pPr>
        <w:pStyle w:val="ListBullet"/>
        <w:ind w:left="360" w:hanging="360"/>
      </w:pPr>
      <w:r>
        <w:rPr>
          <w:rFonts w:ascii="Calibri" w:hAnsi="Calibri"/>
          <w:b/>
          <w:color w:val="525866"/>
          <w:sz w:val="22"/>
        </w:rPr>
        <w:t xml:space="preserve">Read-through for GDDY: </w:t>
      </w:r>
      <w:r>
        <w:rPr>
          <w:rFonts w:ascii="Calibri" w:hAnsi="Calibri"/>
          <w:color w:val="525866"/>
          <w:sz w:val="22"/>
        </w:rPr>
        <w:t>As the world’s largest domain registrar, GoDaddy captures a disproportionate share of new .com/.net registrations. Record VRSN volumes are a strong positive signal for GDDY’s domain revenue and new customer acquisition in Q2.</w:t>
      </w:r>
    </w:p>
    <w:p>
      <w:pPr>
        <w:pStyle w:val="ListBullet"/>
        <w:ind w:left="360" w:hanging="360"/>
      </w:pPr>
      <w:r>
        <w:rPr>
          <w:rFonts w:ascii="Calibri" w:hAnsi="Calibri"/>
          <w:b/>
          <w:color w:val="525866"/>
          <w:sz w:val="22"/>
        </w:rPr>
        <w:t xml:space="preserve">AI is driving domain demand: </w:t>
      </w:r>
      <w:r>
        <w:rPr>
          <w:rFonts w:ascii="Calibri" w:hAnsi="Calibri"/>
          <w:color w:val="525866"/>
          <w:sz w:val="22"/>
        </w:rPr>
        <w:t>VRSN management explicitly stated that “AI tools are making content and website creation faster and easier” and that “AI is definitely enhancing demand for domain names.” The US and EMEA were the strongest growth regions, which VRSN noted produce higher-quality registrations with better renewal rates.</w:t>
      </w:r>
    </w:p>
    <w:p>
      <w:pPr>
        <w:pStyle w:val="ListBullet"/>
        <w:ind w:left="360" w:hanging="360"/>
      </w:pPr>
      <w:r>
        <w:rPr>
          <w:rFonts w:ascii="Calibri" w:hAnsi="Calibri"/>
          <w:b/>
          <w:color w:val="525866"/>
          <w:sz w:val="22"/>
        </w:rPr>
        <w:t xml:space="preserve">Renewal rates remain healthy: </w:t>
      </w:r>
      <w:r>
        <w:rPr>
          <w:rFonts w:ascii="Calibri" w:hAnsi="Calibri"/>
          <w:color w:val="525866"/>
          <w:sz w:val="22"/>
        </w:rPr>
        <w:t>Q2 2026 renewal rate expected at 75.2% (vs. 75.5% a year ago), with the first-time renewal rate stable in the mid-40% range. The Q1 2026 renewal rate was the highest in 20 years. Stable renewal rates support GDDY’s ARR durability.</w:t>
      </w:r>
    </w:p>
    <w:p>
      <w:pPr>
        <w:pStyle w:val="ListBullet"/>
        <w:ind w:left="360" w:hanging="360"/>
      </w:pPr>
      <w:r>
        <w:rPr>
          <w:rFonts w:ascii="Calibri" w:hAnsi="Calibri"/>
          <w:b/>
          <w:color w:val="525866"/>
          <w:sz w:val="22"/>
        </w:rPr>
        <w:t xml:space="preserve">.web TLD delegation: </w:t>
      </w:r>
      <w:r>
        <w:rPr>
          <w:rFonts w:ascii="Calibri" w:hAnsi="Calibri"/>
          <w:color w:val="525866"/>
          <w:sz w:val="22"/>
        </w:rPr>
        <w:t>VRSN announced .web was delegated into the global DNS root zone, with general availability expected late 2026 or early 2027. VRSN does not expect meaningful .web revenue in 2026. For GDDY, .web represents a future distribution opportunity but no near-term revenue impact.</w:t>
      </w:r>
    </w:p>
    <w:p>
      <w:pPr>
        <w:pStyle w:val="ListBullet"/>
        <w:ind w:left="360" w:hanging="360"/>
      </w:pPr>
      <w:r>
        <w:rPr>
          <w:rFonts w:ascii="Calibri" w:hAnsi="Calibri"/>
          <w:b/>
          <w:color w:val="525866"/>
          <w:sz w:val="22"/>
        </w:rPr>
        <w:t xml:space="preserve">No pull-forward concern: </w:t>
      </w:r>
      <w:r>
        <w:rPr>
          <w:rFonts w:ascii="Calibri" w:hAnsi="Calibri"/>
          <w:color w:val="525866"/>
          <w:sz w:val="22"/>
        </w:rPr>
        <w:t>VRSN management dismissed pull-forward of registrations ahead of the November .com price increase as “not a material factor” in current strength, suggesting organic demand is genuine.</w:t>
      </w:r>
    </w:p>
    <w:p>
      <w:pPr>
        <w:pStyle w:val="Heading3"/>
      </w:pPr>
      <w:r>
        <w:rPr>
          <w:rFonts w:ascii="Calibri" w:hAnsi="Calibri"/>
          <w:b/>
          <w:color w:val="3B4259"/>
          <w:sz w:val="24"/>
        </w:rPr>
        <w:t>Shopify (SHOP) — Q1 2026 Earnings (Reported May 5, 2026)</w:t>
      </w:r>
    </w:p>
    <w:p>
      <w:r>
        <w:rPr>
          <w:rFonts w:ascii="Calibri" w:hAnsi="Calibri"/>
          <w:b/>
          <w:color w:val="525866"/>
          <w:sz w:val="22"/>
        </w:rPr>
        <w:t xml:space="preserve">Relevance: </w:t>
      </w:r>
      <w:r>
        <w:rPr>
          <w:rFonts w:ascii="Calibri" w:hAnsi="Calibri"/>
          <w:color w:val="525866"/>
          <w:sz w:val="22"/>
        </w:rPr>
        <w:t>Shopify is the leading SMB e-commerce platform and a proxy for small business formation, digital commerce health, and AI adoption among entrepreneurs — all directly relevant to GDDY’s customer base and A&amp;C segment.</w:t>
      </w:r>
    </w:p>
    <w:p>
      <w:pPr>
        <w:pStyle w:val="ListBullet"/>
        <w:ind w:left="360" w:hanging="360"/>
      </w:pPr>
      <w:r>
        <w:rPr>
          <w:rFonts w:ascii="Calibri" w:hAnsi="Calibri"/>
          <w:b/>
          <w:color w:val="525866"/>
          <w:sz w:val="22"/>
        </w:rPr>
        <w:t xml:space="preserve">SMB formation is accelerating: </w:t>
      </w:r>
      <w:r>
        <w:rPr>
          <w:rFonts w:ascii="Calibri" w:hAnsi="Calibri"/>
          <w:color w:val="525866"/>
          <w:sz w:val="22"/>
        </w:rPr>
        <w:t xml:space="preserve">Shopify’s President stated that “AI is making entrepreneurship dramatically more accessible and in fact accelerated,” with the merchant addition pipeline described as “as healthy and as strong as we’ve ever seen it.” The number of large merchants ($100M+ GMV) has nearly doubled in two years. </w:t>
      </w:r>
    </w:p>
    <w:p>
      <w:pPr>
        <w:pStyle w:val="ListBullet"/>
        <w:ind w:left="360" w:hanging="360"/>
      </w:pPr>
      <w:r>
        <w:rPr>
          <w:rFonts w:ascii="Calibri" w:hAnsi="Calibri"/>
          <w:b/>
          <w:color w:val="525866"/>
          <w:sz w:val="22"/>
        </w:rPr>
        <w:t xml:space="preserve">Read-through for GDDY: </w:t>
      </w:r>
      <w:r>
        <w:rPr>
          <w:rFonts w:ascii="Calibri" w:hAnsi="Calibri"/>
          <w:color w:val="525866"/>
          <w:sz w:val="22"/>
        </w:rPr>
        <w:t>Accelerating SMB formation is a direct positive for GoDaddy’s new customer acquisition and domain registration volumes. GDDY’s promotional offer strategy in Q1 was designed to capture exactly this cohort of new online entrepreneurs.</w:t>
      </w:r>
    </w:p>
    <w:p>
      <w:pPr>
        <w:pStyle w:val="ListBullet"/>
        <w:ind w:left="360" w:hanging="360"/>
      </w:pPr>
      <w:r>
        <w:rPr>
          <w:rFonts w:ascii="Calibri" w:hAnsi="Calibri"/>
          <w:b/>
          <w:color w:val="525866"/>
          <w:sz w:val="22"/>
        </w:rPr>
        <w:t xml:space="preserve">AI-driven commerce is a structural tailwind: </w:t>
      </w:r>
      <w:r>
        <w:rPr>
          <w:rFonts w:ascii="Calibri" w:hAnsi="Calibri"/>
          <w:color w:val="525866"/>
          <w:sz w:val="22"/>
        </w:rPr>
        <w:t>AI-driven traffic to Shopify stores grew 8x YoY in Q1, with orders from AI-powered searches up nearly 13x. Shopify noted that “new and emerging AI channels… will be a tailwind to driving e-commerce growth and penetration over time.” This validates GDDY’s thesis that AI is expanding the total addressable market for web presence and commerce tools.</w:t>
      </w:r>
    </w:p>
    <w:p>
      <w:pPr>
        <w:pStyle w:val="ListBullet"/>
        <w:ind w:left="360" w:hanging="360"/>
      </w:pPr>
      <w:r>
        <w:rPr>
          <w:rFonts w:ascii="Calibri" w:hAnsi="Calibri"/>
          <w:b/>
          <w:color w:val="525866"/>
          <w:sz w:val="22"/>
        </w:rPr>
        <w:t xml:space="preserve">Q2 2026 guidance: high-20s revenue growth, </w:t>
      </w:r>
      <w:r>
        <w:rPr>
          <w:rFonts w:ascii="Calibri" w:hAnsi="Calibri"/>
          <w:color w:val="525866"/>
          <w:sz w:val="22"/>
        </w:rPr>
        <w:t>with gross profit dollars growing mid-20s. Shopify’s strong Q2 outlook signals continued SMB momentum into the quarter GDDY is reporting.</w:t>
      </w:r>
    </w:p>
    <w:p>
      <w:pPr>
        <w:pStyle w:val="ListBullet"/>
        <w:ind w:left="360" w:hanging="360"/>
      </w:pPr>
      <w:r>
        <w:rPr>
          <w:rFonts w:ascii="Calibri" w:hAnsi="Calibri"/>
          <w:b/>
          <w:color w:val="525866"/>
          <w:sz w:val="22"/>
        </w:rPr>
        <w:t xml:space="preserve">Broad-based growth: </w:t>
      </w:r>
      <w:r>
        <w:rPr>
          <w:rFonts w:ascii="Calibri" w:hAnsi="Calibri"/>
          <w:color w:val="525866"/>
          <w:sz w:val="22"/>
        </w:rPr>
        <w:t>Shopify’s Q1 growth was “broad-based across geographies, merchant sizes and channels,” with same-store growth and new merchant acquisition “relatively balanced.” This breadth is consistent with GDDY’s observation that microbusiness customer sentiment remains resilient.</w:t>
      </w:r>
    </w:p>
    <w:p>
      <w:pPr>
        <w:pStyle w:val="Heading3"/>
      </w:pPr>
      <w:r>
        <w:rPr>
          <w:rFonts w:ascii="Calibri" w:hAnsi="Calibri"/>
          <w:b/>
          <w:color w:val="3B4259"/>
          <w:sz w:val="24"/>
        </w:rPr>
        <w:t>Wix (WIX) — Q1 2026 Earnings (Reported May 13, 2026)</w:t>
      </w:r>
    </w:p>
    <w:p>
      <w:r>
        <w:rPr>
          <w:rFonts w:ascii="Calibri" w:hAnsi="Calibri"/>
          <w:b/>
          <w:color w:val="525866"/>
          <w:sz w:val="22"/>
        </w:rPr>
        <w:t xml:space="preserve">Relevance: </w:t>
      </w:r>
      <w:r>
        <w:rPr>
          <w:rFonts w:ascii="Calibri" w:hAnsi="Calibri"/>
          <w:color w:val="525866"/>
          <w:sz w:val="22"/>
        </w:rPr>
        <w:t>Wix is GDDY’s most direct competitor in website building and SMB web presence. Wix’s commentary on cohort quality, AI website creation, and SMB macro conditions is the closest competitive read-through available.</w:t>
      </w:r>
    </w:p>
    <w:p>
      <w:pPr>
        <w:pStyle w:val="ListBullet"/>
        <w:ind w:left="360" w:hanging="360"/>
      </w:pPr>
      <w:r>
        <w:rPr>
          <w:rFonts w:ascii="Calibri" w:hAnsi="Calibri"/>
          <w:b/>
          <w:color w:val="525866"/>
          <w:sz w:val="22"/>
        </w:rPr>
        <w:t xml:space="preserve">High-intent cohort monetization is strong: </w:t>
      </w:r>
      <w:r>
        <w:rPr>
          <w:rFonts w:ascii="Calibri" w:hAnsi="Calibri"/>
          <w:color w:val="525866"/>
          <w:sz w:val="22"/>
        </w:rPr>
        <w:t>Wix’s Q1 2026 user cohort generated nearly $52M in bookings in its first 3 months, a 46% increase vs. the Q1 2025 cohort. New users purchased higher-priced subscriptions and increased attach of business solutions, “signaling the growing mix of high-intent users.” This mirrors GDDY’s own $500+ customer cohort strategy.</w:t>
      </w:r>
    </w:p>
    <w:p>
      <w:pPr>
        <w:pStyle w:val="ListBullet"/>
        <w:ind w:left="360" w:hanging="360"/>
      </w:pPr>
      <w:r>
        <w:rPr>
          <w:rFonts w:ascii="Calibri" w:hAnsi="Calibri"/>
          <w:b/>
          <w:color w:val="525866"/>
          <w:sz w:val="22"/>
        </w:rPr>
        <w:t xml:space="preserve">Read-through for GDDY: </w:t>
      </w:r>
      <w:r>
        <w:rPr>
          <w:rFonts w:ascii="Calibri" w:hAnsi="Calibri"/>
          <w:color w:val="525866"/>
          <w:sz w:val="22"/>
        </w:rPr>
        <w:t>Strong high-intent cohort monetization at Wix validates GDDY’s ARPU expansion thesis. If the competitive environment is producing better-quality customers across the board, GDDY’s own attach and ARPU metrics should benefit.</w:t>
      </w:r>
    </w:p>
    <w:p>
      <w:pPr>
        <w:pStyle w:val="ListBullet"/>
        <w:ind w:left="360" w:hanging="360"/>
      </w:pPr>
      <w:r>
        <w:rPr>
          <w:rFonts w:ascii="Calibri" w:hAnsi="Calibri"/>
          <w:b/>
          <w:color w:val="525866"/>
          <w:sz w:val="22"/>
        </w:rPr>
        <w:t xml:space="preserve">AI website creation is lowering barriers: </w:t>
      </w:r>
      <w:r>
        <w:rPr>
          <w:rFonts w:ascii="Calibri" w:hAnsi="Calibri"/>
          <w:color w:val="525866"/>
          <w:sz w:val="22"/>
        </w:rPr>
        <w:t>Wix launched Harmony (AI-powered editor) and deployed a proprietary LLM for design, noting it is “meaningfully faster, produces fewer errors and delivers noticeably better outcomes.” Wix’s Base44 AI app creation platform reached $150M ARR in mid-May (from $100M in early March). This confirms the AI-driven website creation market is growing rapidly.</w:t>
      </w:r>
    </w:p>
    <w:p>
      <w:pPr>
        <w:pStyle w:val="ListBullet"/>
        <w:ind w:left="360" w:hanging="360"/>
      </w:pPr>
      <w:r>
        <w:rPr>
          <w:rFonts w:ascii="Calibri" w:hAnsi="Calibri"/>
          <w:b/>
          <w:color w:val="525866"/>
          <w:sz w:val="22"/>
        </w:rPr>
        <w:t xml:space="preserve">SMB macro pressure on payments: </w:t>
      </w:r>
      <w:r>
        <w:rPr>
          <w:rFonts w:ascii="Calibri" w:hAnsi="Calibri"/>
          <w:color w:val="525866"/>
          <w:sz w:val="22"/>
        </w:rPr>
        <w:t>Wix noted that “GPV remains soft as SMBs on the platform continue to experience macro pressure,” with GPV growing only 12% YoY to $3.8B. This is a mild caution for GDDY’s Gross Payments Volume (GPV) and commerce-related A&amp;C metrics.</w:t>
      </w:r>
    </w:p>
    <w:p>
      <w:pPr>
        <w:pStyle w:val="ListBullet"/>
        <w:ind w:left="360" w:hanging="360"/>
      </w:pPr>
      <w:r>
        <w:rPr>
          <w:rFonts w:ascii="Calibri" w:hAnsi="Calibri"/>
          <w:b/>
          <w:color w:val="525866"/>
          <w:sz w:val="22"/>
        </w:rPr>
        <w:t xml:space="preserve">Full-year guidance maintained: </w:t>
      </w:r>
      <w:r>
        <w:rPr>
          <w:rFonts w:ascii="Calibri" w:hAnsi="Calibri"/>
          <w:color w:val="525866"/>
          <w:sz w:val="22"/>
        </w:rPr>
        <w:t>Wix maintained mid-teens bookings and revenue growth guidance for FY 2026, with Q2 also expected at mid-teens. The partners business slowdown (still +19% YoY) was flagged as a drag, partially offset by core Wix and Base44 momentum.</w:t>
      </w:r>
    </w:p>
    <w:p>
      <w:pPr>
        <w:pStyle w:val="ListBullet"/>
        <w:ind w:left="360" w:hanging="360"/>
      </w:pPr>
      <w:r>
        <w:rPr>
          <w:rFonts w:ascii="Calibri" w:hAnsi="Calibri"/>
          <w:b/>
          <w:color w:val="525866"/>
          <w:sz w:val="22"/>
        </w:rPr>
        <w:t xml:space="preserve">Pricing discipline: </w:t>
      </w:r>
      <w:r>
        <w:rPr>
          <w:rFonts w:ascii="Calibri" w:hAnsi="Calibri"/>
          <w:color w:val="525866"/>
          <w:sz w:val="22"/>
        </w:rPr>
        <w:t>Wix management noted the current pricing structure is “the right one at this stage,” with token-based pricing for AI-intensive features to be introduced only if consumption warrants it. This is consistent with GDDY’s own Airo AI Builder subscription + credit model.</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confirmation of Airo AI Builder’s organic momentum at the Evercore TMT Conference (June 2), followed by VeriSign’s record Q2 domain registrations (July 23) which directly validates GDDY’s domain volume assumptions. JPMorgan’s price target cut (June 18) was the primary negative catalyst driving the mid-June stock weakness.</w:t>
      </w:r>
    </w:p>
    <w:p>
      <w:pPr>
        <w:pStyle w:val="ListBullet"/>
        <w:ind w:left="360" w:hanging="360"/>
      </w:pPr>
      <w:r>
        <w:rPr>
          <w:rFonts w:ascii="Calibri" w:hAnsi="Calibri"/>
          <w:b/>
          <w:color w:val="525866"/>
          <w:sz w:val="22"/>
        </w:rPr>
        <w:t xml:space="preserve">July 23, 2026 — VeriSign reports record Q2 domain registrations (+21% YoY): </w:t>
      </w:r>
      <w:r>
        <w:rPr>
          <w:rFonts w:ascii="Calibri" w:hAnsi="Calibri"/>
          <w:color w:val="525866"/>
          <w:sz w:val="22"/>
        </w:rPr>
        <w:t>VRSN reported 12.7M new .com/.net registrations in Q2, the highest in company history, driven by AI tailwinds and registrar customer acquisition focus. Direct positive read-through for GDDY’s domain volumes and Core Platform revenue. VRSN also announced .web TLD delegation (no 2026 revenue impact).</w:t>
      </w:r>
    </w:p>
    <w:p>
      <w:pPr>
        <w:pStyle w:val="ListBullet"/>
        <w:ind w:left="360" w:hanging="360"/>
      </w:pPr>
      <w:r>
        <w:rPr>
          <w:rFonts w:ascii="Calibri" w:hAnsi="Calibri"/>
          <w:b/>
          <w:color w:val="525866"/>
          <w:sz w:val="22"/>
        </w:rPr>
        <w:t xml:space="preserve">July 29, 2026 — Wedbush reiterates Outperform, $109 PT ahead of Q2 print: </w:t>
      </w:r>
      <w:r>
        <w:rPr>
          <w:rFonts w:ascii="Calibri" w:hAnsi="Calibri"/>
          <w:color w:val="525866"/>
          <w:sz w:val="22"/>
        </w:rPr>
        <w:t>Wedbush expects continued margin expansion, steady Domains performance, and further A&amp;C bookings momentum from Airo. Highlighted that bookings-revenue convergence and Airo AI Builder marketing ramp are key focus areas. Also flagged the upcoming investor event as a potential catalyst for new midterm targets.</w:t>
      </w:r>
    </w:p>
    <w:p>
      <w:pPr>
        <w:pStyle w:val="ListBullet"/>
        <w:ind w:left="360" w:hanging="360"/>
      </w:pPr>
      <w:r>
        <w:rPr>
          <w:rFonts w:ascii="Calibri" w:hAnsi="Calibri"/>
          <w:b/>
          <w:color w:val="525866"/>
          <w:sz w:val="22"/>
        </w:rPr>
        <w:t xml:space="preserve">July 7, 2026 — GoDaddy confirms Q2 2026 earnings date (July 30, after close): </w:t>
      </w:r>
      <w:r>
        <w:rPr>
          <w:rFonts w:ascii="Calibri" w:hAnsi="Calibri"/>
          <w:color w:val="525866"/>
          <w:sz w:val="22"/>
        </w:rPr>
        <w:t>Press release confirming reporting schedule. Conference call at 5:00 PM ET.</w:t>
      </w:r>
    </w:p>
    <w:p>
      <w:pPr>
        <w:pStyle w:val="ListBullet"/>
        <w:ind w:left="360" w:hanging="360"/>
      </w:pPr>
      <w:r>
        <w:rPr>
          <w:rFonts w:ascii="Calibri" w:hAnsi="Calibri"/>
          <w:b/>
          <w:color w:val="525866"/>
          <w:sz w:val="22"/>
        </w:rPr>
        <w:t xml:space="preserve">June 18, 2026 — JPMorgan cuts price target from $154 to $124 (maintains Overweight): </w:t>
      </w:r>
      <w:r>
        <w:rPr>
          <w:rFonts w:ascii="Calibri" w:hAnsi="Calibri"/>
          <w:color w:val="525866"/>
          <w:sz w:val="22"/>
        </w:rPr>
        <w:t>Largest single analyst PT reduction since Q1 earnings. Cited slightly higher assumed risk and modestly different revenue growth expectations. Triggered the mid-June stock selloff to ~$75. Despite the cut, JPMorgan maintained its Overweight rating, suggesting the reduction was a valuation recalibration rather than a fundamental downgrade.</w:t>
      </w:r>
    </w:p>
    <w:p>
      <w:pPr>
        <w:pStyle w:val="ListBullet"/>
        <w:ind w:left="360" w:hanging="360"/>
      </w:pPr>
      <w:r>
        <w:rPr>
          <w:rFonts w:ascii="Calibri" w:hAnsi="Calibri"/>
          <w:b/>
          <w:color w:val="525866"/>
          <w:sz w:val="22"/>
        </w:rPr>
        <w:t xml:space="preserve">June 2, 2026 — Evercore Global TMT Conference (CFO Mark McCaffrey): </w:t>
      </w:r>
      <w:r>
        <w:rPr>
          <w:rFonts w:ascii="Calibri" w:hAnsi="Calibri"/>
          <w:color w:val="525866"/>
          <w:sz w:val="22"/>
        </w:rPr>
        <w:t>CFO confirmed Airo AI Builder has seen “high engagement levels” with customers “opting for premium plans,” and that growth is “organic” without heavy marketing investment. Confirmed the AI transformation is structured around three pillars: AI-native products (Airo AI Builder, ANS), AI-enhanced internal operations, and AI-driven customer acquisition. Tone was confident and consistent with Q1 call messaging.</w:t>
      </w:r>
    </w:p>
    <w:p>
      <w:pPr>
        <w:pStyle w:val="ListBullet"/>
        <w:ind w:left="360" w:hanging="360"/>
      </w:pPr>
      <w:r>
        <w:rPr>
          <w:rFonts w:ascii="Calibri" w:hAnsi="Calibri"/>
          <w:b/>
          <w:color w:val="525866"/>
          <w:sz w:val="22"/>
        </w:rPr>
        <w:t xml:space="preserve">May 2026 — GoDaddy launches Developer Platform and Airo for WordPress: </w:t>
      </w:r>
      <w:r>
        <w:rPr>
          <w:rFonts w:ascii="Calibri" w:hAnsi="Calibri"/>
          <w:color w:val="525866"/>
          <w:sz w:val="22"/>
        </w:rPr>
        <w:t>GoDaddy launched the GoDaddy Developer Platform (domain management within coding environments, eliminating need to visit registrar website) and Airo for WordPress (AI-powered tool for WordPress site creation via chat interface). Both expand Airo’s distribution surface and addressable market beyond the core godaddy.com funnel.</w:t>
      </w:r>
    </w:p>
    <w:p>
      <w:pPr>
        <w:pStyle w:val="ListBullet"/>
        <w:ind w:left="360" w:hanging="360"/>
      </w:pPr>
      <w:r>
        <w:rPr>
          <w:rFonts w:ascii="Calibri" w:hAnsi="Calibri"/>
          <w:b/>
          <w:color w:val="525866"/>
          <w:sz w:val="22"/>
        </w:rPr>
        <w:t xml:space="preserve">May 5, 2026 — UBS initiates coverage at Neutral, $100 PT (later adjusted to $105): </w:t>
      </w:r>
      <w:r>
        <w:rPr>
          <w:rFonts w:ascii="Calibri" w:hAnsi="Calibri"/>
          <w:color w:val="525866"/>
          <w:sz w:val="22"/>
        </w:rPr>
        <w:t>New coverage from UBS with a cautious stance, citing valuation and execution risk on AI monetization. Adds a neutral voice to a predominantly bullish analyst consensus (Moderate Buy, avg. PT ~$118).</w:t>
      </w:r>
    </w:p>
    <w:p>
      <w:pPr>
        <w:pStyle w:val="ListBullet"/>
        <w:ind w:left="360" w:hanging="360"/>
      </w:pPr>
      <w:r>
        <w:rPr>
          <w:rFonts w:ascii="Calibri" w:hAnsi="Calibri"/>
          <w:b/>
          <w:color w:val="525866"/>
          <w:sz w:val="22"/>
        </w:rPr>
        <w:t xml:space="preserve">May 1, 2026 — Wells Fargo raises PT from $77 to $83 (Equal Weight): </w:t>
      </w:r>
      <w:r>
        <w:rPr>
          <w:rFonts w:ascii="Calibri" w:hAnsi="Calibri"/>
          <w:color w:val="525866"/>
          <w:sz w:val="22"/>
        </w:rPr>
        <w:t>Modest PT increase post-Q1 earnings, but maintains Equal Weight. Reflects limited conviction on upside despite solid Q1 execution.</w:t>
      </w:r>
    </w:p>
    <w:p>
      <w:pPr>
        <w:pStyle w:val="ListBullet"/>
        <w:ind w:left="360" w:hanging="360"/>
      </w:pPr>
      <w:r>
        <w:rPr>
          <w:rFonts w:ascii="Calibri" w:hAnsi="Calibri"/>
          <w:b/>
          <w:color w:val="525866"/>
          <w:sz w:val="22"/>
        </w:rPr>
        <w:t xml:space="preserve">Post-Q1 — GoDaddy backing open standards for AI agent discovery (ANS/Infoblox): </w:t>
      </w:r>
      <w:r>
        <w:rPr>
          <w:rFonts w:ascii="Calibri" w:hAnsi="Calibri"/>
          <w:color w:val="525866"/>
          <w:sz w:val="22"/>
        </w:rPr>
        <w:t>GoDaddy is collaborating with Infoblox to develop open standards for the Agent Name Service (ANS) for AI agent identity verification. Validates GDDY’s positioning as infrastructure for the agentic internet, though revenue contribution remains early-stage.</w:t>
      </w:r>
    </w:p>
    <w:p>
      <w:pPr>
        <w:pStyle w:val="ListBullet"/>
        <w:ind w:left="360" w:hanging="360"/>
      </w:pPr>
      <w:r>
        <w:rPr>
          <w:rFonts w:ascii="Calibri" w:hAnsi="Calibri"/>
          <w:b/>
          <w:color w:val="525866"/>
          <w:sz w:val="22"/>
        </w:rPr>
        <w:t xml:space="preserve">Analyst consensus: </w:t>
      </w:r>
      <w:r>
        <w:rPr>
          <w:rFonts w:ascii="Calibri" w:hAnsi="Calibri"/>
          <w:color w:val="525866"/>
          <w:sz w:val="22"/>
        </w:rPr>
        <w:t>15 analysts cover GDDY; 1 Strong Buy, 6 Buy, 8 Hold. Average 12-month PT ~$118 (as of late July 2026), implying ~12% upside from pre-earnings levels (~$105). PT range: $83 (Wells Fargo) to $215 (Benchmark). The wide dispersion reflects genuine uncertainty about AI monetization timing.</w:t>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All insider activity since Q1 earnings consists of sales, the vast majority under pre-established 10b5-1 plans — routine and not a discretionary signal. The one notable exception is CFO Mark McCaffrey’s June 8 open-market sale of 3,500 shares (not under a 10b5-1 plan), which is worth monitoring but is a relatively modest transaction in the context of his 105,728-share position.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Jared F. Sine</w:t>
            </w:r>
          </w:p>
        </w:tc>
        <w:tc>
          <w:tcPr>
            <w:tcW w:type="dxa" w:w="1440"/>
          </w:tcPr>
          <w:p>
            <w:r>
              <w:rPr>
                <w:rFonts w:ascii="Calibri" w:hAnsi="Calibri"/>
                <w:sz w:val="22"/>
              </w:rPr>
              <w:t>Chief Strategy &amp; Legal Officer</w:t>
            </w:r>
          </w:p>
        </w:tc>
        <w:tc>
          <w:tcPr>
            <w:tcW w:type="dxa" w:w="1440"/>
          </w:tcPr>
          <w:p>
            <w:r>
              <w:rPr>
                <w:rFonts w:ascii="Calibri" w:hAnsi="Calibri"/>
                <w:sz w:val="22"/>
              </w:rPr>
              <w:t>Open Market Sale</w:t>
            </w:r>
          </w:p>
        </w:tc>
        <w:tc>
          <w:tcPr>
            <w:tcW w:type="dxa" w:w="1440"/>
          </w:tcPr>
          <w:p>
            <w:r>
              <w:rPr>
                <w:rFonts w:ascii="Calibri" w:hAnsi="Calibri"/>
                <w:sz w:val="22"/>
              </w:rPr>
              <w:t>644</w:t>
            </w:r>
          </w:p>
        </w:tc>
        <w:tc>
          <w:tcPr>
            <w:tcW w:type="dxa" w:w="1440"/>
          </w:tcPr>
          <w:p>
            <w:r>
              <w:rPr>
                <w:rFonts w:ascii="Calibri" w:hAnsi="Calibri"/>
                <w:sz w:val="22"/>
              </w:rPr>
              <w:t>Jul 2, 2026</w:t>
            </w:r>
          </w:p>
        </w:tc>
        <w:tc>
          <w:tcPr>
            <w:tcW w:type="dxa" w:w="1440"/>
          </w:tcPr>
          <w:p>
            <w:r>
              <w:rPr>
                <w:rFonts w:ascii="Calibri" w:hAnsi="Calibri"/>
                <w:sz w:val="22"/>
              </w:rPr>
              <w:t>10b5-1 planned sale; routine</w:t>
            </w:r>
          </w:p>
        </w:tc>
      </w:tr>
      <w:tr>
        <w:tc>
          <w:tcPr>
            <w:tcW w:type="dxa" w:w="1440"/>
          </w:tcPr>
          <w:p>
            <w:r>
              <w:rPr>
                <w:rFonts w:ascii="Calibri" w:hAnsi="Calibri"/>
                <w:sz w:val="22"/>
              </w:rPr>
              <w:t>Mark McCaffrey</w:t>
            </w:r>
          </w:p>
        </w:tc>
        <w:tc>
          <w:tcPr>
            <w:tcW w:type="dxa" w:w="1440"/>
          </w:tcPr>
          <w:p>
            <w:r>
              <w:rPr>
                <w:rFonts w:ascii="Calibri" w:hAnsi="Calibri"/>
                <w:sz w:val="22"/>
              </w:rPr>
              <w:t>Chief Financial Officer</w:t>
            </w:r>
          </w:p>
        </w:tc>
        <w:tc>
          <w:tcPr>
            <w:tcW w:type="dxa" w:w="1440"/>
          </w:tcPr>
          <w:p>
            <w:r>
              <w:rPr>
                <w:rFonts w:ascii="Calibri" w:hAnsi="Calibri"/>
                <w:sz w:val="22"/>
              </w:rPr>
              <w:t>Open Market Sale</w:t>
            </w:r>
          </w:p>
        </w:tc>
        <w:tc>
          <w:tcPr>
            <w:tcW w:type="dxa" w:w="1440"/>
          </w:tcPr>
          <w:p>
            <w:r>
              <w:rPr>
                <w:rFonts w:ascii="Calibri" w:hAnsi="Calibri"/>
                <w:sz w:val="22"/>
              </w:rPr>
              <w:t>3,500</w:t>
            </w:r>
          </w:p>
        </w:tc>
        <w:tc>
          <w:tcPr>
            <w:tcW w:type="dxa" w:w="1440"/>
          </w:tcPr>
          <w:p>
            <w:r>
              <w:rPr>
                <w:rFonts w:ascii="Calibri" w:hAnsi="Calibri"/>
                <w:sz w:val="22"/>
              </w:rPr>
              <w:t>Jun 8, 2026</w:t>
            </w:r>
          </w:p>
        </w:tc>
        <w:tc>
          <w:tcPr>
            <w:tcW w:type="dxa" w:w="1440"/>
          </w:tcPr>
          <w:p>
            <w:r>
              <w:rPr>
                <w:rFonts w:ascii="Calibri" w:hAnsi="Calibri"/>
                <w:sz w:val="22"/>
              </w:rPr>
              <w:t>Discretionary (NOT 10b5-1); notable but modest vs. 105,728-share position</w:t>
            </w:r>
          </w:p>
        </w:tc>
      </w:tr>
      <w:tr>
        <w:tc>
          <w:tcPr>
            <w:tcW w:type="dxa" w:w="1440"/>
          </w:tcPr>
          <w:p>
            <w:r>
              <w:rPr>
                <w:rFonts w:ascii="Calibri" w:hAnsi="Calibri"/>
                <w:sz w:val="22"/>
              </w:rPr>
              <w:t>Amanpal Singh Bhutani</w:t>
            </w:r>
          </w:p>
        </w:tc>
        <w:tc>
          <w:tcPr>
            <w:tcW w:type="dxa" w:w="1440"/>
          </w:tcPr>
          <w:p>
            <w:r>
              <w:rPr>
                <w:rFonts w:ascii="Calibri" w:hAnsi="Calibri"/>
                <w:sz w:val="22"/>
              </w:rPr>
              <w:t>CEO &amp; Director</w:t>
            </w:r>
          </w:p>
        </w:tc>
        <w:tc>
          <w:tcPr>
            <w:tcW w:type="dxa" w:w="1440"/>
          </w:tcPr>
          <w:p>
            <w:r>
              <w:rPr>
                <w:rFonts w:ascii="Calibri" w:hAnsi="Calibri"/>
                <w:sz w:val="22"/>
              </w:rPr>
              <w:t>Open Market Sale</w:t>
            </w:r>
          </w:p>
        </w:tc>
        <w:tc>
          <w:tcPr>
            <w:tcW w:type="dxa" w:w="1440"/>
          </w:tcPr>
          <w:p>
            <w:r>
              <w:rPr>
                <w:rFonts w:ascii="Calibri" w:hAnsi="Calibri"/>
                <w:sz w:val="22"/>
              </w:rPr>
              <w:t>8,373</w:t>
            </w:r>
          </w:p>
        </w:tc>
        <w:tc>
          <w:tcPr>
            <w:tcW w:type="dxa" w:w="1440"/>
          </w:tcPr>
          <w:p>
            <w:r>
              <w:rPr>
                <w:rFonts w:ascii="Calibri" w:hAnsi="Calibri"/>
                <w:sz w:val="22"/>
              </w:rPr>
              <w:t>Jun 2, 2026</w:t>
            </w:r>
          </w:p>
        </w:tc>
        <w:tc>
          <w:tcPr>
            <w:tcW w:type="dxa" w:w="1440"/>
          </w:tcPr>
          <w:p>
            <w:r>
              <w:rPr>
                <w:rFonts w:ascii="Calibri" w:hAnsi="Calibri"/>
                <w:sz w:val="22"/>
              </w:rPr>
              <w:t>10b5-1 planned sale; routine</w:t>
            </w:r>
          </w:p>
        </w:tc>
      </w:tr>
      <w:tr>
        <w:tc>
          <w:tcPr>
            <w:tcW w:type="dxa" w:w="1440"/>
          </w:tcPr>
          <w:p>
            <w:r>
              <w:rPr>
                <w:rFonts w:ascii="Calibri" w:hAnsi="Calibri"/>
                <w:sz w:val="22"/>
              </w:rPr>
              <w:t>Mark McCaffrey</w:t>
            </w:r>
          </w:p>
        </w:tc>
        <w:tc>
          <w:tcPr>
            <w:tcW w:type="dxa" w:w="1440"/>
          </w:tcPr>
          <w:p>
            <w:r>
              <w:rPr>
                <w:rFonts w:ascii="Calibri" w:hAnsi="Calibri"/>
                <w:sz w:val="22"/>
              </w:rPr>
              <w:t>Chief Financial Officer</w:t>
            </w:r>
          </w:p>
        </w:tc>
        <w:tc>
          <w:tcPr>
            <w:tcW w:type="dxa" w:w="1440"/>
          </w:tcPr>
          <w:p>
            <w:r>
              <w:rPr>
                <w:rFonts w:ascii="Calibri" w:hAnsi="Calibri"/>
                <w:sz w:val="22"/>
              </w:rPr>
              <w:t>Open Market Sale</w:t>
            </w:r>
          </w:p>
        </w:tc>
        <w:tc>
          <w:tcPr>
            <w:tcW w:type="dxa" w:w="1440"/>
          </w:tcPr>
          <w:p>
            <w:r>
              <w:rPr>
                <w:rFonts w:ascii="Calibri" w:hAnsi="Calibri"/>
                <w:sz w:val="22"/>
              </w:rPr>
              <w:t>3,958</w:t>
            </w:r>
          </w:p>
        </w:tc>
        <w:tc>
          <w:tcPr>
            <w:tcW w:type="dxa" w:w="1440"/>
          </w:tcPr>
          <w:p>
            <w:r>
              <w:rPr>
                <w:rFonts w:ascii="Calibri" w:hAnsi="Calibri"/>
                <w:sz w:val="22"/>
              </w:rPr>
              <w:t>Jun 2, 2026</w:t>
            </w:r>
          </w:p>
        </w:tc>
        <w:tc>
          <w:tcPr>
            <w:tcW w:type="dxa" w:w="1440"/>
          </w:tcPr>
          <w:p>
            <w:r>
              <w:rPr>
                <w:rFonts w:ascii="Calibri" w:hAnsi="Calibri"/>
                <w:sz w:val="22"/>
              </w:rPr>
              <w:t>10b5-1 planned sale; routine</w:t>
            </w:r>
          </w:p>
        </w:tc>
      </w:tr>
      <w:tr>
        <w:tc>
          <w:tcPr>
            <w:tcW w:type="dxa" w:w="1440"/>
          </w:tcPr>
          <w:p>
            <w:r>
              <w:rPr>
                <w:rFonts w:ascii="Calibri" w:hAnsi="Calibri"/>
                <w:sz w:val="22"/>
              </w:rPr>
              <w:t>Phontip Palitwanon</w:t>
            </w:r>
          </w:p>
        </w:tc>
        <w:tc>
          <w:tcPr>
            <w:tcW w:type="dxa" w:w="1440"/>
          </w:tcPr>
          <w:p>
            <w:r>
              <w:rPr>
                <w:rFonts w:ascii="Calibri" w:hAnsi="Calibri"/>
                <w:sz w:val="22"/>
              </w:rPr>
              <w:t>Chief Accounting Officer</w:t>
            </w:r>
          </w:p>
        </w:tc>
        <w:tc>
          <w:tcPr>
            <w:tcW w:type="dxa" w:w="1440"/>
          </w:tcPr>
          <w:p>
            <w:r>
              <w:rPr>
                <w:rFonts w:ascii="Calibri" w:hAnsi="Calibri"/>
                <w:sz w:val="22"/>
              </w:rPr>
              <w:t>Open Market Sale</w:t>
            </w:r>
          </w:p>
        </w:tc>
        <w:tc>
          <w:tcPr>
            <w:tcW w:type="dxa" w:w="1440"/>
          </w:tcPr>
          <w:p>
            <w:r>
              <w:rPr>
                <w:rFonts w:ascii="Calibri" w:hAnsi="Calibri"/>
                <w:sz w:val="22"/>
              </w:rPr>
              <w:t>542</w:t>
            </w:r>
          </w:p>
        </w:tc>
        <w:tc>
          <w:tcPr>
            <w:tcW w:type="dxa" w:w="1440"/>
          </w:tcPr>
          <w:p>
            <w:r>
              <w:rPr>
                <w:rFonts w:ascii="Calibri" w:hAnsi="Calibri"/>
                <w:sz w:val="22"/>
              </w:rPr>
              <w:t>Jun 2, 2026</w:t>
            </w:r>
          </w:p>
        </w:tc>
        <w:tc>
          <w:tcPr>
            <w:tcW w:type="dxa" w:w="1440"/>
          </w:tcPr>
          <w:p>
            <w:r>
              <w:rPr>
                <w:rFonts w:ascii="Calibri" w:hAnsi="Calibri"/>
                <w:sz w:val="22"/>
              </w:rPr>
              <w:t>10b5-1 planned sale; routine</w:t>
            </w:r>
          </w:p>
        </w:tc>
      </w:tr>
      <w:tr>
        <w:tc>
          <w:tcPr>
            <w:tcW w:type="dxa" w:w="1440"/>
          </w:tcPr>
          <w:p>
            <w:r>
              <w:rPr>
                <w:rFonts w:ascii="Calibri" w:hAnsi="Calibri"/>
                <w:sz w:val="22"/>
              </w:rPr>
              <w:t>Jared F. Sine</w:t>
            </w:r>
          </w:p>
        </w:tc>
        <w:tc>
          <w:tcPr>
            <w:tcW w:type="dxa" w:w="1440"/>
          </w:tcPr>
          <w:p>
            <w:r>
              <w:rPr>
                <w:rFonts w:ascii="Calibri" w:hAnsi="Calibri"/>
                <w:sz w:val="22"/>
              </w:rPr>
              <w:t>Chief Strategy &amp; Legal Officer</w:t>
            </w:r>
          </w:p>
        </w:tc>
        <w:tc>
          <w:tcPr>
            <w:tcW w:type="dxa" w:w="1440"/>
          </w:tcPr>
          <w:p>
            <w:r>
              <w:rPr>
                <w:rFonts w:ascii="Calibri" w:hAnsi="Calibri"/>
                <w:sz w:val="22"/>
              </w:rPr>
              <w:t>Open Market Sale</w:t>
            </w:r>
          </w:p>
        </w:tc>
        <w:tc>
          <w:tcPr>
            <w:tcW w:type="dxa" w:w="1440"/>
          </w:tcPr>
          <w:p>
            <w:r>
              <w:rPr>
                <w:rFonts w:ascii="Calibri" w:hAnsi="Calibri"/>
                <w:sz w:val="22"/>
              </w:rPr>
              <w:t>1,188</w:t>
            </w:r>
          </w:p>
        </w:tc>
        <w:tc>
          <w:tcPr>
            <w:tcW w:type="dxa" w:w="1440"/>
          </w:tcPr>
          <w:p>
            <w:r>
              <w:rPr>
                <w:rFonts w:ascii="Calibri" w:hAnsi="Calibri"/>
                <w:sz w:val="22"/>
              </w:rPr>
              <w:t>Jun 2, 2026</w:t>
            </w:r>
          </w:p>
        </w:tc>
        <w:tc>
          <w:tcPr>
            <w:tcW w:type="dxa" w:w="1440"/>
          </w:tcPr>
          <w:p>
            <w:r>
              <w:rPr>
                <w:rFonts w:ascii="Calibri" w:hAnsi="Calibri"/>
                <w:sz w:val="22"/>
              </w:rPr>
              <w:t>10b5-1 planned sale; routine</w:t>
            </w:r>
          </w:p>
        </w:tc>
      </w:tr>
      <w:tr>
        <w:tc>
          <w:tcPr>
            <w:tcW w:type="dxa" w:w="1440"/>
          </w:tcPr>
          <w:p>
            <w:r>
              <w:rPr>
                <w:rFonts w:ascii="Calibri" w:hAnsi="Calibri"/>
                <w:sz w:val="22"/>
              </w:rPr>
              <w:t>Sigal Zarmi</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350</w:t>
            </w:r>
          </w:p>
        </w:tc>
        <w:tc>
          <w:tcPr>
            <w:tcW w:type="dxa" w:w="1440"/>
          </w:tcPr>
          <w:p>
            <w:r>
              <w:rPr>
                <w:rFonts w:ascii="Calibri" w:hAnsi="Calibri"/>
                <w:sz w:val="22"/>
              </w:rPr>
              <w:t>Jun 1, 2026</w:t>
            </w:r>
          </w:p>
        </w:tc>
        <w:tc>
          <w:tcPr>
            <w:tcW w:type="dxa" w:w="1440"/>
          </w:tcPr>
          <w:p>
            <w:r>
              <w:rPr>
                <w:rFonts w:ascii="Calibri" w:hAnsi="Calibri"/>
                <w:sz w:val="22"/>
              </w:rPr>
              <w:t>10b5-1 planned sale; routine</w:t>
            </w:r>
          </w:p>
        </w:tc>
      </w:tr>
      <w:tr>
        <w:tc>
          <w:tcPr>
            <w:tcW w:type="dxa" w:w="1440"/>
          </w:tcPr>
          <w:p>
            <w:r>
              <w:rPr>
                <w:rFonts w:ascii="Calibri" w:hAnsi="Calibri"/>
                <w:sz w:val="22"/>
              </w:rPr>
              <w:t>Mark McCaffrey</w:t>
            </w:r>
          </w:p>
        </w:tc>
        <w:tc>
          <w:tcPr>
            <w:tcW w:type="dxa" w:w="1440"/>
          </w:tcPr>
          <w:p>
            <w:r>
              <w:rPr>
                <w:rFonts w:ascii="Calibri" w:hAnsi="Calibri"/>
                <w:sz w:val="22"/>
              </w:rPr>
              <w:t>Chief Financial Officer</w:t>
            </w:r>
          </w:p>
        </w:tc>
        <w:tc>
          <w:tcPr>
            <w:tcW w:type="dxa" w:w="1440"/>
          </w:tcPr>
          <w:p>
            <w:r>
              <w:rPr>
                <w:rFonts w:ascii="Calibri" w:hAnsi="Calibri"/>
                <w:sz w:val="22"/>
              </w:rPr>
              <w:t>Open Market Sale</w:t>
            </w:r>
          </w:p>
        </w:tc>
        <w:tc>
          <w:tcPr>
            <w:tcW w:type="dxa" w:w="1440"/>
          </w:tcPr>
          <w:p>
            <w:r>
              <w:rPr>
                <w:rFonts w:ascii="Calibri" w:hAnsi="Calibri"/>
                <w:sz w:val="22"/>
              </w:rPr>
              <w:t>16</w:t>
            </w:r>
          </w:p>
        </w:tc>
        <w:tc>
          <w:tcPr>
            <w:tcW w:type="dxa" w:w="1440"/>
          </w:tcPr>
          <w:p>
            <w:r>
              <w:rPr>
                <w:rFonts w:ascii="Calibri" w:hAnsi="Calibri"/>
                <w:sz w:val="22"/>
              </w:rPr>
              <w:t>May 18, 2026</w:t>
            </w:r>
          </w:p>
        </w:tc>
        <w:tc>
          <w:tcPr>
            <w:tcW w:type="dxa" w:w="1440"/>
          </w:tcPr>
          <w:p>
            <w:r>
              <w:rPr>
                <w:rFonts w:ascii="Calibri" w:hAnsi="Calibri"/>
                <w:sz w:val="22"/>
              </w:rPr>
              <w:t>10b5-1 planned sale; routine (de minimis)</w:t>
            </w:r>
          </w:p>
        </w:tc>
      </w:tr>
      <w:tr>
        <w:tc>
          <w:tcPr>
            <w:tcW w:type="dxa" w:w="1440"/>
          </w:tcPr>
          <w:p>
            <w:r>
              <w:rPr>
                <w:rFonts w:ascii="Calibri" w:hAnsi="Calibri"/>
                <w:sz w:val="22"/>
              </w:rPr>
              <w:t>Phontip Palitwanon</w:t>
            </w:r>
          </w:p>
        </w:tc>
        <w:tc>
          <w:tcPr>
            <w:tcW w:type="dxa" w:w="1440"/>
          </w:tcPr>
          <w:p>
            <w:r>
              <w:rPr>
                <w:rFonts w:ascii="Calibri" w:hAnsi="Calibri"/>
                <w:sz w:val="22"/>
              </w:rPr>
              <w:t>Chief Accounting Officer</w:t>
            </w:r>
          </w:p>
        </w:tc>
        <w:tc>
          <w:tcPr>
            <w:tcW w:type="dxa" w:w="1440"/>
          </w:tcPr>
          <w:p>
            <w:r>
              <w:rPr>
                <w:rFonts w:ascii="Calibri" w:hAnsi="Calibri"/>
                <w:sz w:val="22"/>
              </w:rPr>
              <w:t>Open Market Sale</w:t>
            </w:r>
          </w:p>
        </w:tc>
        <w:tc>
          <w:tcPr>
            <w:tcW w:type="dxa" w:w="1440"/>
          </w:tcPr>
          <w:p>
            <w:r>
              <w:rPr>
                <w:rFonts w:ascii="Calibri" w:hAnsi="Calibri"/>
                <w:sz w:val="22"/>
              </w:rPr>
              <w:t>12</w:t>
            </w:r>
          </w:p>
        </w:tc>
        <w:tc>
          <w:tcPr>
            <w:tcW w:type="dxa" w:w="1440"/>
          </w:tcPr>
          <w:p>
            <w:r>
              <w:rPr>
                <w:rFonts w:ascii="Calibri" w:hAnsi="Calibri"/>
                <w:sz w:val="22"/>
              </w:rPr>
              <w:t>May 18, 2026</w:t>
            </w:r>
          </w:p>
        </w:tc>
        <w:tc>
          <w:tcPr>
            <w:tcW w:type="dxa" w:w="1440"/>
          </w:tcPr>
          <w:p>
            <w:r>
              <w:rPr>
                <w:rFonts w:ascii="Calibri" w:hAnsi="Calibri"/>
                <w:sz w:val="22"/>
              </w:rPr>
              <w:t>10b5-1 planned sale; routine (de minimis)</w:t>
            </w:r>
          </w:p>
        </w:tc>
      </w:tr>
      <w:tr>
        <w:tc>
          <w:tcPr>
            <w:tcW w:type="dxa" w:w="1440"/>
          </w:tcPr>
          <w:p>
            <w:r>
              <w:rPr>
                <w:rFonts w:ascii="Calibri" w:hAnsi="Calibri"/>
                <w:sz w:val="22"/>
              </w:rPr>
              <w:t>Jared F. Sine</w:t>
            </w:r>
          </w:p>
        </w:tc>
        <w:tc>
          <w:tcPr>
            <w:tcW w:type="dxa" w:w="1440"/>
          </w:tcPr>
          <w:p>
            <w:r>
              <w:rPr>
                <w:rFonts w:ascii="Calibri" w:hAnsi="Calibri"/>
                <w:sz w:val="22"/>
              </w:rPr>
              <w:t>Chief Strategy &amp; Legal Officer</w:t>
            </w:r>
          </w:p>
        </w:tc>
        <w:tc>
          <w:tcPr>
            <w:tcW w:type="dxa" w:w="1440"/>
          </w:tcPr>
          <w:p>
            <w:r>
              <w:rPr>
                <w:rFonts w:ascii="Calibri" w:hAnsi="Calibri"/>
                <w:sz w:val="22"/>
              </w:rPr>
              <w:t>Open Market Sale</w:t>
            </w:r>
          </w:p>
        </w:tc>
        <w:tc>
          <w:tcPr>
            <w:tcW w:type="dxa" w:w="1440"/>
          </w:tcPr>
          <w:p>
            <w:r>
              <w:rPr>
                <w:rFonts w:ascii="Calibri" w:hAnsi="Calibri"/>
                <w:sz w:val="22"/>
              </w:rPr>
              <w:t>13</w:t>
            </w:r>
          </w:p>
        </w:tc>
        <w:tc>
          <w:tcPr>
            <w:tcW w:type="dxa" w:w="1440"/>
          </w:tcPr>
          <w:p>
            <w:r>
              <w:rPr>
                <w:rFonts w:ascii="Calibri" w:hAnsi="Calibri"/>
                <w:sz w:val="22"/>
              </w:rPr>
              <w:t>May 18, 2026</w:t>
            </w:r>
          </w:p>
        </w:tc>
        <w:tc>
          <w:tcPr>
            <w:tcW w:type="dxa" w:w="1440"/>
          </w:tcPr>
          <w:p>
            <w:r>
              <w:rPr>
                <w:rFonts w:ascii="Calibri" w:hAnsi="Calibri"/>
                <w:sz w:val="22"/>
              </w:rPr>
              <w:t>Discretionary (NOT 10b5-1); de minimis size, not a signal</w:t>
            </w:r>
          </w:p>
        </w:tc>
      </w:tr>
    </w:tbl>
    <w:p>
      <w:r>
        <w:rPr>
          <w:rFonts w:ascii="Calibri" w:hAnsi="Calibri"/>
          <w:color w:val="525866"/>
          <w:sz w:val="22"/>
        </w:rPr>
        <w:t>No open-market buys were filed in the period. The absence of insider buying at the June lows (~$75) is notable but not alarming given the prevalence of 10b5-1 plans across the executive team. The CFO’s June 8 discretionary sale of 3,500 shares (~$280K at ~$80/share) is the only non-plan transaction of any size; it represents ~3.3% of his position and does not constitute a meaningful negative signal. Source: SEC Form 4 filings.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