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hc-earnings-predictions--2026-07-29"/>
    <w:p>
      <w:pPr>
        <w:pStyle w:val="Heading1"/>
      </w:pPr>
      <w:r>
        <w:t xml:space="preserve">GEHC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,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my ~ this. But given the run-up and reaffirm, moderate negative. Let me me confidence MEDIU.finthe the analysis. Given everything is pre-released, I'll confident in the report KPI directions. Let me write the JSON.7{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 margin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~15.3% vs. cons ~15.1%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~$4.80–5.00 (mid</w:t>
            </w:r>
            <w:r>
              <w:t xml:space="preserve"> </w:t>
            </w:r>
            <m:oMath>
              <m:r>
                <m:t>4.90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~3–4% vs. cons ~3.5%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~15.4–15.7% vs. cons ~15.5%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The print is fully pre-wired (rev</w:t>
            </w:r>
            <w:r>
              <w:t xml:space="preserve"> 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295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+</m:t>
              </m:r>
              <m:r>
                <m:t>5.7</m:t>
              </m:r>
            </m:oMath>
            <w:r>
              <w:t xml:space="preserve">250M gross, offsets skewed to H2/2027) plus a still-negative PCS and China backdrop pressure back-half estimates even after the beat. Combined with the CFO-transition overhang, that sets up a sell-the-news fade as estimates drift flat-to-down and the pre-print pop unwinds.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2026-07-29T00:38:23Z</dcterms:created>
  <dcterms:modified xsi:type="dcterms:W3CDTF">2026-07-29T00:38:23Z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