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I'll research GEHC before writing the preview. Let me gather recent earnings materials, guidance, and news.There's a notable preannouncement and CFO departure. Let me dig into the Q1 2026 call, the latest release, and the preannouncement 8-K.Let me pull the prior-year Q2 2025 numbers (for the comp) and recent stock reaction.I have what I need. Here's the preview.</w:t>
      </w:r>
    </w:p>
    <w:p>
      <w:r>
        <w:pict>
          <v:rect style="width:0;height:1.5pt" o:hralign="center" o:hrstd="t" o:hr="t"/>
        </w:pict>
      </w:r>
    </w:p>
    <w:bookmarkStart w:id="20" w:name="X6fb864c2fb89270e7eba4208d92fb85dd86aa42"/>
    <w:p>
      <w:pPr>
        <w:pStyle w:val="Heading1"/>
      </w:pPr>
      <w:r>
        <w:t xml:space="preserve">GE HealthCare (GEHC) — Q2 2026 Earnings Preview</w:t>
      </w:r>
    </w:p>
    <w:bookmarkStart w:id="9" w:name="Xce65c294a5158951810ee24fb380619de9ddcb4"/>
    <w:p>
      <w:pPr>
        <w:pStyle w:val="Heading3"/>
      </w:pPr>
      <w:r>
        <w:t xml:space="preserve">Reports Wednesday, July 29, 2026 (before open) | Conference call 8:30 a.m. ET</w:t>
      </w:r>
    </w:p>
    <w:bookmarkEnd w:id="9"/>
    <w:bookmarkStart w:id="10" w:name="the-setup-an-unusually-pre-wired-print"/>
    <w:p>
      <w:pPr>
        <w:pStyle w:val="Heading2"/>
      </w:pPr>
      <w:r>
        <w:t xml:space="preserve">The setup: an unusually pre-wired print</w:t>
      </w:r>
    </w:p>
    <w:p>
      <w:pPr>
        <w:pStyle w:val="FirstParagraph"/>
      </w:pPr>
      <w:r>
        <w:t xml:space="preserve">This is a rare earnings event where the headline numbers are already known. On July 23, GEHC issued a preliminary release that did three things at once: announced a</w:t>
      </w:r>
      <w:r>
        <w:t xml:space="preserve"> </w:t>
      </w:r>
      <w:r>
        <w:rPr>
          <w:b/>
          <w:bCs/>
        </w:rPr>
        <w:t xml:space="preserve">CFO transition</w:t>
      </w:r>
      <w:r>
        <w:t xml:space="preserve">, pre-released</w:t>
      </w:r>
      <w:r>
        <w:t xml:space="preserve"> </w:t>
      </w:r>
      <w:r>
        <w:rPr>
          <w:b/>
          <w:bCs/>
        </w:rPr>
        <w:t xml:space="preserve">Q2 results</w:t>
      </w:r>
      <w:r>
        <w:t xml:space="preserve">, and</w:t>
      </w:r>
      <w:r>
        <w:t xml:space="preserve"> </w:t>
      </w:r>
      <w:r>
        <w:rPr>
          <w:b/>
          <w:bCs/>
        </w:rPr>
        <w:t xml:space="preserve">reaffirmed full-year guidance</w:t>
      </w:r>
      <w:r>
        <w:t xml:space="preserve">. As a result, the July 29 report is less about the print itself and more about the</w:t>
      </w:r>
      <w:r>
        <w:t xml:space="preserve"> </w:t>
      </w:r>
      <w:r>
        <w:rPr>
          <w:i/>
          <w:iCs/>
        </w:rPr>
        <w:t xml:space="preserve">details, cadence, and management commentary</w:t>
      </w:r>
      <w:r>
        <w:t xml:space="preserve"> </w:t>
      </w:r>
      <w:r>
        <w:t xml:space="preserve">underneath it.</w:t>
      </w:r>
    </w:p>
    <w:p>
      <w:pPr>
        <w:pStyle w:val="BodyText"/>
      </w:pPr>
      <w:r>
        <w:rPr>
          <w:b/>
          <w:bCs/>
        </w:rPr>
        <w:t xml:space="preserve">What's already been disclosed for Q2 2026 (preliminary, unaudited):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Revenue: $5,295M, +5.7% reported / +3.5% organic</w:t>
      </w:r>
      <w:r>
        <w:t xml:space="preserve"> </w:t>
      </w:r>
      <w:r>
        <w:t xml:space="preserve">YoY (vs. $5,007M in Q2'25)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Adjusted EPS: growth YoY, and "above prior expectation"</w:t>
      </w:r>
      <w:r>
        <w:t xml:space="preserve"> </w:t>
      </w:r>
      <w:r>
        <w:t xml:space="preserve">— notable because on the Q1 call management had guided Q2 adjusted EPS to</w:t>
      </w:r>
      <w:r>
        <w:t xml:space="preserve"> </w:t>
      </w:r>
      <w:r>
        <w:rPr>
          <w:i/>
          <w:iCs/>
        </w:rPr>
        <w:t xml:space="preserve">decline low-single-digits</w:t>
      </w:r>
      <w:r>
        <w:t xml:space="preserve"> </w:t>
      </w:r>
      <w:r>
        <w:t xml:space="preserve">YoY (off the $1.06 base). So EPS came in materially better than the Street feared.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Full-year 2026 guidance reaffirmed</w:t>
      </w:r>
      <w:r>
        <w:t xml:space="preserve"> </w:t>
      </w:r>
      <w:r>
        <w:t xml:space="preserve">(originally set April 29)</w:t>
      </w:r>
    </w:p>
    <w:p>
      <w:pPr>
        <w:pStyle w:val="FirstParagraph"/>
      </w:pPr>
      <w:r>
        <w:t xml:space="preserve">Bottom line: the quarter de-risked the top line and, more importantly, signaled that the inflation-driven Q2 margin trough may be shallower than the company itself telegraphed three months ago.</w:t>
      </w:r>
    </w:p>
    <w:p>
      <w:r>
        <w:pict>
          <v:rect style="width:0;height:1.5pt" o:hralign="center" o:hrstd="t" o:hr="t"/>
        </w:pict>
      </w:r>
    </w:p>
    <w:bookmarkEnd w:id="10"/>
    <w:bookmarkStart w:id="11" w:name="Xf2a829784a28ce29712173ea8337d28371a46c2"/>
    <w:p>
      <w:pPr>
        <w:pStyle w:val="Heading2"/>
      </w:pPr>
      <w:r>
        <w:t xml:space="preserve">Why this matters: the Q1 guidance cut is the backdrop</w:t>
      </w:r>
    </w:p>
    <w:p>
      <w:pPr>
        <w:pStyle w:val="FirstParagraph"/>
      </w:pPr>
      <w:r>
        <w:t xml:space="preserve">Investors need to remember the April reset. On the Q1 call, GEHC</w:t>
      </w:r>
      <w:r>
        <w:t xml:space="preserve"> </w:t>
      </w:r>
      <w:r>
        <w:rPr>
          <w:b/>
          <w:bCs/>
        </w:rPr>
        <w:t xml:space="preserve">cut profit and FCF guidance</w:t>
      </w:r>
      <w:r>
        <w:t xml:space="preserve"> </w:t>
      </w:r>
      <w:r>
        <w:t xml:space="preserve">on a sudden spike in input costs, while leaving the top line untouched: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FY26 Guide (current)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Organic revenue growth</w:t>
            </w:r>
          </w:p>
        </w:tc>
        <w:tc>
          <w:tcPr/>
          <w:p>
            <w:pPr>
              <w:pStyle w:val="Compact"/>
            </w:pPr>
            <w:r>
              <w:t xml:space="preserve">~3–4%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EBIT margin</w:t>
            </w:r>
          </w:p>
        </w:tc>
        <w:tc>
          <w:tcPr/>
          <w:p>
            <w:pPr>
              <w:pStyle w:val="Compact"/>
            </w:pPr>
            <w:r>
              <w:t xml:space="preserve">15.4%–15.7% (+10–40 bps YoY)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m:oMath>
              <m:r>
                <m:t>4.80</m:t>
              </m:r>
              <m:r>
                <m:rPr>
                  <m:sty m:val="p"/>
                </m:rPr>
                <m:t>–</m:t>
              </m:r>
            </m:oMath>
            <w:r>
              <w:t xml:space="preserve">5.00 (~5–9% growth)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</w:pPr>
            <w:r>
              <w:t xml:space="preserve">~$1.6B</w:t>
            </w:r>
          </w:p>
        </w:tc>
      </w:tr>
    </w:tbl>
    <w:p>
      <w:pPr>
        <w:pStyle w:val="BodyText"/>
      </w:pPr>
      <w:r>
        <w:t xml:space="preserve">The cut stemmed from **~</w:t>
      </w:r>
      <m:oMath>
        <m:r>
          <m:t>250</m:t>
        </m:r>
        <m:r>
          <m:t>M</m:t>
        </m:r>
        <m:r>
          <m:t>o</m:t>
        </m:r>
        <m:r>
          <m:t>f</m:t>
        </m:r>
        <m:r>
          <m:t>g</m:t>
        </m:r>
        <m:r>
          <m:t>r</m:t>
        </m:r>
        <m:r>
          <m:t>o</m:t>
        </m:r>
        <m:r>
          <m:t>s</m:t>
        </m:r>
        <m:r>
          <m:t>s</m:t>
        </m:r>
        <m:r>
          <m:t>i</m:t>
        </m:r>
        <m:r>
          <m:t>n</m:t>
        </m:r>
        <m:r>
          <m:t>f</m:t>
        </m:r>
        <m:r>
          <m:t>l</m:t>
        </m:r>
        <m:r>
          <m:t>a</m:t>
        </m:r>
        <m:r>
          <m:t>t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(</m:t>
        </m:r>
      </m:oMath>
      <w:r>
        <w:t xml:space="preserve">0.43/share) — roughly ~</w:t>
      </w:r>
      <m:oMath>
        <m:r>
          <m:t>100</m:t>
        </m:r>
        <m:r>
          <m:t>M</m:t>
        </m:r>
        <m:r>
          <m:t>m</m:t>
        </m:r>
        <m:r>
          <m:t>e</m:t>
        </m:r>
        <m:r>
          <m:t>m</m:t>
        </m:r>
        <m:r>
          <m:t>o</m:t>
        </m:r>
        <m:r>
          <m:t>r</m:t>
        </m:r>
        <m:r>
          <m:t>y</m:t>
        </m:r>
        <m:r>
          <m:t>c</m:t>
        </m:r>
        <m:r>
          <m:t>h</m:t>
        </m:r>
        <m:r>
          <m:t>i</m:t>
        </m:r>
        <m:r>
          <m:t>p</m:t>
        </m:r>
        <m:r>
          <m:t>s</m:t>
        </m:r>
        <m:r>
          <m:rPr>
            <m:sty m:val="p"/>
          </m:rPr>
          <m:t>,</m:t>
        </m:r>
        <m:r>
          <m:t> </m:t>
        </m:r>
      </m:oMath>
      <w:r>
        <w:t xml:space="preserve">100M oil/freight, ~</w:t>
      </w:r>
      <m:oMath>
        <m:r>
          <m:t>50</m:t>
        </m:r>
        <m:r>
          <m:t>M</m:t>
        </m:r>
        <m:r>
          <m:t>o</m:t>
        </m:r>
        <m:r>
          <m:t>t</m:t>
        </m:r>
        <m:r>
          <m:t>h</m:t>
        </m:r>
        <m:r>
          <m:t>e</m:t>
        </m:r>
        <m:r>
          <m:t>r</m:t>
        </m:r>
        <m:r>
          <m:rPr>
            <m:sty m:val="p"/>
          </m:rPr>
          <m:t>(</m:t>
        </m:r>
        <m:r>
          <m:t>e</m:t>
        </m:r>
        <m:r>
          <m:rPr>
            <m:sty m:val="p"/>
          </m:rPr>
          <m:t>.</m:t>
        </m:r>
        <m:r>
          <m:t>g</m:t>
        </m:r>
        <m:r>
          <m:rPr>
            <m:sty m:val="p"/>
          </m:rPr>
          <m:t>.</m:t>
        </m:r>
        <m:r>
          <m:rPr>
            <m:sty m:val="p"/>
          </m:rPr>
          <m:t>,</m:t>
        </m:r>
        <m:r>
          <m:t>t</m:t>
        </m:r>
        <m:r>
          <m:t>u</m:t>
        </m:r>
        <m:r>
          <m:t>n</m:t>
        </m:r>
        <m:r>
          <m:t>g</m:t>
        </m:r>
        <m:r>
          <m:t>s</m:t>
        </m:r>
        <m:r>
          <m:t>t</m:t>
        </m:r>
        <m:r>
          <m:t>e</m:t>
        </m:r>
        <m:r>
          <m:t>n</m:t>
        </m:r>
        <m:r>
          <m:rPr>
            <m:sty m:val="p"/>
          </m:rPr>
          <m:t>)</m:t>
        </m:r>
        <m:r>
          <m:rPr>
            <m:sty m:val="p"/>
          </m:rPr>
          <m:t>.</m:t>
        </m:r>
        <m:r>
          <m:t>M</m:t>
        </m:r>
        <m:r>
          <m:t>a</m:t>
        </m:r>
        <m:r>
          <m:t>n</m:t>
        </m:r>
        <m:r>
          <m:t>a</m:t>
        </m:r>
        <m:r>
          <m:t>g</m:t>
        </m:r>
        <m:r>
          <m:t>e</m:t>
        </m:r>
        <m:r>
          <m:t>m</m:t>
        </m:r>
        <m:r>
          <m:t>e</m:t>
        </m:r>
        <m:r>
          <m:t>n</m:t>
        </m:r>
        <m:r>
          <m:t>t</m:t>
        </m:r>
        <m:r>
          <m:t>s</m:t>
        </m:r>
        <m:r>
          <m:t>a</m:t>
        </m:r>
        <m:r>
          <m:t>i</m:t>
        </m:r>
        <m:r>
          <m:t>d</m:t>
        </m:r>
        <m:r>
          <m:t>i</m:t>
        </m:r>
        <m:r>
          <m:t>t</m:t>
        </m:r>
        <m:r>
          <m:t>w</m:t>
        </m:r>
        <m:r>
          <m:t>o</m:t>
        </m:r>
        <m:r>
          <m:t>u</m:t>
        </m:r>
        <m:r>
          <m:t>l</m:t>
        </m:r>
        <m:r>
          <m:t>d</m:t>
        </m:r>
        <m:r>
          <m:t>o</m:t>
        </m:r>
        <m:r>
          <m:t>f</m:t>
        </m:r>
        <m:r>
          <m:t>f</m:t>
        </m:r>
        <m:r>
          <m:t>s</m:t>
        </m:r>
        <m:r>
          <m:t>e</m:t>
        </m:r>
        <m:r>
          <m:t>t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m</m:t>
        </m:r>
        <m:r>
          <m:t>o</m:t>
        </m:r>
        <m:r>
          <m:t>r</m:t>
        </m:r>
        <m:r>
          <m:t>e</m:t>
        </m:r>
        <m:r>
          <m:t>t</m:t>
        </m:r>
        <m:r>
          <m:t>h</m:t>
        </m:r>
        <m:r>
          <m:t>a</m:t>
        </m:r>
        <m:r>
          <m:t>n</m:t>
        </m:r>
        <m:r>
          <m:t>h</m:t>
        </m:r>
        <m:r>
          <m:t>a</m:t>
        </m:r>
        <m:r>
          <m:t>l</m:t>
        </m:r>
        <m:r>
          <m:t>f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v</m:t>
        </m:r>
        <m:r>
          <m:t>i</m:t>
        </m:r>
        <m:r>
          <m:t>a</m:t>
        </m:r>
        <m:r>
          <m:t>p</m:t>
        </m:r>
        <m:r>
          <m:t>r</m:t>
        </m:r>
        <m:r>
          <m:t>i</m:t>
        </m:r>
        <m:r>
          <m:t>c</m:t>
        </m:r>
        <m:r>
          <m:t>e</m:t>
        </m:r>
        <m:r>
          <m:t>a</m:t>
        </m:r>
        <m:r>
          <m:t>n</m:t>
        </m:r>
        <m:r>
          <m:t>d</m:t>
        </m:r>
        <m:r>
          <m:t>c</m:t>
        </m:r>
        <m:r>
          <m:t>o</m:t>
        </m:r>
        <m:r>
          <m:t>s</m:t>
        </m:r>
        <m:r>
          <m:t>t</m:t>
        </m:r>
        <m:r>
          <m:t>a</m:t>
        </m:r>
        <m:r>
          <m:t>c</m:t>
        </m:r>
        <m:r>
          <m:t>t</m:t>
        </m:r>
        <m:r>
          <m:t>i</m:t>
        </m:r>
        <m:r>
          <m:t>o</m:t>
        </m:r>
        <m:r>
          <m:t>n</m:t>
        </m:r>
        <m:r>
          <m:t>s</m:t>
        </m:r>
        <m:r>
          <m:rPr>
            <m:sty m:val="p"/>
          </m:rPr>
          <m:t>(</m:t>
        </m:r>
        <m:r>
          <m:t> </m:t>
        </m:r>
      </m:oMath>
      <w:r>
        <w:t xml:space="preserve">0.23/share), leaving a</w:t>
      </w:r>
      <w:r>
        <w:t xml:space="preserve"> </w:t>
      </w:r>
      <w:r>
        <w:rPr>
          <w:b/>
          <w:bCs/>
        </w:rPr>
        <w:t xml:space="preserve">net $0.15 EPS haircut</w:t>
      </w:r>
      <w:r>
        <w:t xml:space="preserve">. Critically, the inflation hit was designed to be</w:t>
      </w:r>
      <w:r>
        <w:t xml:space="preserve"> </w:t>
      </w:r>
      <w:r>
        <w:rPr>
          <w:b/>
          <w:bCs/>
        </w:rPr>
        <w:t xml:space="preserve">H2-weighted</w:t>
      </w:r>
      <w:r>
        <w:t xml:space="preserve"> </w:t>
      </w:r>
      <w:r>
        <w:t xml:space="preserve">(Q3/Q4 largest), while the offsets (mostly pricing on new orders) also</w:t>
      </w:r>
      <w:r>
        <w:t xml:space="preserve"> </w:t>
      </w:r>
      <w:r>
        <w:rPr>
          <w:b/>
          <w:bCs/>
        </w:rPr>
        <w:t xml:space="preserve">skew to H2 and into 2027</w:t>
      </w:r>
      <w:r>
        <w:t xml:space="preserve">. That framing is why Q2 EPS was guided</w:t>
      </w:r>
      <w:r>
        <w:t xml:space="preserve"> </w:t>
      </w:r>
      <w:r>
        <w:rPr>
          <w:i/>
          <w:iCs/>
        </w:rPr>
        <w:t xml:space="preserve">down</w:t>
      </w:r>
      <w:r>
        <w:t xml:space="preserve"> </w:t>
      </w:r>
      <w:r>
        <w:t xml:space="preserve">— so the pre-released Q2 beat is the first evidence the mitigation plan is tracking ahead.</w:t>
      </w:r>
    </w:p>
    <w:p>
      <w:pPr>
        <w:pStyle w:val="BodyText"/>
      </w:pPr>
      <w:r>
        <w:rPr>
          <w:b/>
          <w:bCs/>
        </w:rPr>
        <w:t xml:space="preserve">Key question for the call:</w:t>
      </w:r>
      <w:r>
        <w:t xml:space="preserve"> </w:t>
      </w:r>
      <w:r>
        <w:t xml:space="preserve">Given the reaffirmed (not raised) FY guide despite a Q2 beat and "strong business momentum," how much conservatism is baked into H2? Watch for whether management nudges the range higher or simply points to H2 inflation/tariff risk as the reason for holding.</w:t>
      </w:r>
    </w:p>
    <w:p>
      <w:r>
        <w:pict>
          <v:rect style="width:0;height:1.5pt" o:hralign="center" o:hrstd="t" o:hr="t"/>
        </w:pict>
      </w:r>
    </w:p>
    <w:bookmarkEnd w:id="11"/>
    <w:bookmarkStart w:id="17" w:name="five-things-to-watch-on-the-call"/>
    <w:p>
      <w:pPr>
        <w:pStyle w:val="Heading2"/>
      </w:pPr>
      <w:r>
        <w:t xml:space="preserve">Five things to watch on the call</w:t>
      </w:r>
    </w:p>
    <w:bookmarkStart w:id="12" w:name="X6822d2b189d85ce9546ce1cdca84436bdbb63dc"/>
    <w:p>
      <w:pPr>
        <w:pStyle w:val="Heading3"/>
      </w:pPr>
      <w:r>
        <w:t xml:space="preserve">1. The CFO transition — the real overhang</w:t>
      </w:r>
    </w:p>
    <w:p>
      <w:pPr>
        <w:pStyle w:val="FirstParagraph"/>
      </w:pPr>
      <w:r>
        <w:t xml:space="preserve">CFO</w:t>
      </w:r>
      <w:r>
        <w:t xml:space="preserve"> </w:t>
      </w:r>
      <w:r>
        <w:rPr>
          <w:b/>
          <w:bCs/>
        </w:rPr>
        <w:t xml:space="preserve">Jay Saccaro is departing</w:t>
      </w:r>
      <w:r>
        <w:t xml:space="preserve"> </w:t>
      </w:r>
      <w:r>
        <w:t xml:space="preserve">(for a role outside medtech), staying through</w:t>
      </w:r>
      <w:r>
        <w:t xml:space="preserve"> </w:t>
      </w:r>
      <w:r>
        <w:rPr>
          <w:b/>
          <w:bCs/>
        </w:rPr>
        <w:t xml:space="preserve">August 14</w:t>
      </w:r>
      <w:r>
        <w:t xml:space="preserve">, with controller/CAO</w:t>
      </w:r>
      <w:r>
        <w:t xml:space="preserve"> </w:t>
      </w:r>
      <w:r>
        <w:rPr>
          <w:b/>
          <w:bCs/>
        </w:rPr>
        <w:t xml:space="preserve">George Newcomb named interim CFO</w:t>
      </w:r>
      <w:r>
        <w:t xml:space="preserve"> </w:t>
      </w:r>
      <w:r>
        <w:t xml:space="preserve">while a permanent search runs. This is the single biggest new uncertainty. The stock dipped the day after the announcement (7/24) even with the earnings beat. Listen for: tone/continuity, whether guidance philosophy changes, and any timeline on a permanent hire. Newcomb is a long-tenured GE finance veteran, which should reassure on continuity, but a permanent external hire could reset the narrative.</w:t>
      </w:r>
    </w:p>
    <w:bookmarkEnd w:id="12"/>
    <w:bookmarkStart w:id="13" w:name="X67ceac45458da190d141300a6d33377106b4bcb"/>
    <w:p>
      <w:pPr>
        <w:pStyle w:val="Heading3"/>
      </w:pPr>
      <w:r>
        <w:t xml:space="preserve">2. First report under the NEW 3-segment structure</w:t>
      </w:r>
    </w:p>
    <w:p>
      <w:pPr>
        <w:pStyle w:val="FirstParagraph"/>
      </w:pPr>
      <w:r>
        <w:t xml:space="preserve">Q2 2026 is the</w:t>
      </w:r>
      <w:r>
        <w:t xml:space="preserve"> </w:t>
      </w:r>
      <w:r>
        <w:rPr>
          <w:b/>
          <w:bCs/>
        </w:rPr>
        <w:t xml:space="preserve">first quarter reported under the reorganized structure</w:t>
      </w:r>
      <w:r>
        <w:t xml:space="preserve">: Imaging + AVS have merged into</w:t>
      </w:r>
      <w:r>
        <w:t xml:space="preserve"> </w:t>
      </w:r>
      <w:r>
        <w:rPr>
          <w:b/>
          <w:bCs/>
        </w:rPr>
        <w:t xml:space="preserve">Advanced Imaging Solutions (AIS)</w:t>
      </w:r>
      <w:r>
        <w:t xml:space="preserve"> </w:t>
      </w:r>
      <w:r>
        <w:t xml:space="preserve">(led by Phil Rackliffe), joining</w:t>
      </w:r>
      <w:r>
        <w:t xml:space="preserve"> </w:t>
      </w:r>
      <w:r>
        <w:rPr>
          <w:b/>
          <w:bCs/>
        </w:rPr>
        <w:t xml:space="preserve">Pharmaceutical Diagnostics (PDx)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Patient Care Solutions (PCS)</w:t>
      </w:r>
      <w:r>
        <w:t xml:space="preserve"> </w:t>
      </w:r>
      <w:r>
        <w:t xml:space="preserve">— moving from 4 segments to 3. Management said it would provide a</w:t>
      </w:r>
      <w:r>
        <w:t xml:space="preserve"> </w:t>
      </w:r>
      <w:r>
        <w:rPr>
          <w:b/>
          <w:bCs/>
        </w:rPr>
        <w:t xml:space="preserve">recast of financials</w:t>
      </w:r>
      <w:r>
        <w:t xml:space="preserve"> </w:t>
      </w:r>
      <w:r>
        <w:t xml:space="preserve">with this report. Expect noise/comparability challenges; the strategic rationale is faster R&amp;D decision-making and sharper disease-state focus (e.g., structural heart/cardiology across CT, ultrasound, cath lab).</w:t>
      </w:r>
    </w:p>
    <w:bookmarkEnd w:id="13"/>
    <w:bookmarkStart w:id="14" w:name="X8d9249f51566711c49a36c4e86b41c5d2170106"/>
    <w:p>
      <w:pPr>
        <w:pStyle w:val="Heading3"/>
      </w:pPr>
      <w:r>
        <w:t xml:space="preserve">3. PCS — the problem child</w:t>
      </w:r>
    </w:p>
    <w:p>
      <w:pPr>
        <w:pStyle w:val="FirstParagraph"/>
      </w:pPr>
      <w:r>
        <w:t xml:space="preserve">PCS was the clear weak spot in Q1 (</w:t>
      </w:r>
      <w:r>
        <w:rPr>
          <w:b/>
          <w:bCs/>
        </w:rPr>
        <w:t xml:space="preserve">organic -8.1%, EBIT margin -500 bps YoY</w:t>
      </w:r>
      <w:r>
        <w:t xml:space="preserve">). Management blamed timing — large monitoring installations concentrated in</w:t>
      </w:r>
      <w:r>
        <w:t xml:space="preserve"> </w:t>
      </w:r>
      <w:r>
        <w:rPr>
          <w:b/>
          <w:bCs/>
        </w:rPr>
        <w:t xml:space="preserve">H2</w:t>
      </w:r>
      <w:r>
        <w:t xml:space="preserve"> </w:t>
      </w:r>
      <w:r>
        <w:t xml:space="preserve">— plus a</w:t>
      </w:r>
      <w:r>
        <w:t xml:space="preserve"> </w:t>
      </w:r>
      <w:r>
        <w:rPr>
          <w:b/>
          <w:bCs/>
        </w:rPr>
        <w:t xml:space="preserve">new premium anesthesia product</w:t>
      </w:r>
      <w:r>
        <w:t xml:space="preserve"> </w:t>
      </w:r>
      <w:r>
        <w:t xml:space="preserve">awaiting</w:t>
      </w:r>
      <w:r>
        <w:t xml:space="preserve"> </w:t>
      </w:r>
      <w:r>
        <w:rPr>
          <w:b/>
          <w:bCs/>
        </w:rPr>
        <w:t xml:space="preserve">U.S. clearance in Q3</w:t>
      </w:r>
      <w:r>
        <w:t xml:space="preserve">. The bull case requires PCS to inflect in H2. Watch for backlog conversion, the anesthesia clearance, and any hint of a</w:t>
      </w:r>
      <w:r>
        <w:t xml:space="preserve"> </w:t>
      </w:r>
      <w:r>
        <w:rPr>
          <w:b/>
          <w:bCs/>
        </w:rPr>
        <w:t xml:space="preserve">strategic/portfolio review</w:t>
      </w:r>
      <w:r>
        <w:t xml:space="preserve"> </w:t>
      </w:r>
      <w:r>
        <w:t xml:space="preserve">of PCS now that it's a standalone segment (Arduini flagged this possibility).</w:t>
      </w:r>
    </w:p>
    <w:bookmarkEnd w:id="14"/>
    <w:bookmarkStart w:id="15" w:name="Xfdc67b185a70cc74e714893b185a3121a28dce3"/>
    <w:p>
      <w:pPr>
        <w:pStyle w:val="Heading3"/>
      </w:pPr>
      <w:r>
        <w:t xml:space="preserve">4. The innovation cycle — Flyrcado, photon-counting CT, and the manganese contrast agent</w:t>
      </w:r>
    </w:p>
    <w:p>
      <w:pPr>
        <w:pStyle w:val="FirstParagraph"/>
      </w:pPr>
      <w:r>
        <w:t xml:space="preserve">Management calls 2026 a "pivotal year" with its</w:t>
      </w:r>
      <w:r>
        <w:t xml:space="preserve"> </w:t>
      </w:r>
      <w:r>
        <w:rPr>
          <w:b/>
          <w:bCs/>
        </w:rPr>
        <w:t xml:space="preserve">strongest innovation cycle in a decade</w:t>
      </w:r>
      <w:r>
        <w:t xml:space="preserve">, with meaningful revenue contribution expected to begin in</w:t>
      </w:r>
      <w:r>
        <w:t xml:space="preserve"> </w:t>
      </w:r>
      <w:r>
        <w:rPr>
          <w:b/>
          <w:bCs/>
        </w:rPr>
        <w:t xml:space="preserve">2027</w:t>
      </w:r>
      <w:r>
        <w:t xml:space="preserve">. Specifics to track: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Flyrcado</w:t>
      </w:r>
      <w:r>
        <w:t xml:space="preserve"> </w:t>
      </w:r>
      <w:r>
        <w:t xml:space="preserve">(cardiac PET agent): dose run-rate roughly doubled since January (~390 doses/wk, ~</w:t>
      </w:r>
      <m:oMath>
        <m:r>
          <m:t>46</m:t>
        </m:r>
        <m:r>
          <m:t>M</m:t>
        </m:r>
        <m:r>
          <m:t>a</m:t>
        </m:r>
        <m:r>
          <m:t>n</m:t>
        </m:r>
        <m:r>
          <m:t>n</m:t>
        </m:r>
        <m:r>
          <m:t>u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d</m:t>
        </m:r>
        <m:r>
          <m:t>i</m:t>
        </m:r>
        <m:r>
          <m:t>n</m:t>
        </m:r>
        <m:r>
          <m:t>A</m:t>
        </m:r>
        <m:r>
          <m:t>p</m:t>
        </m:r>
        <m:r>
          <m:t>r</m:t>
        </m:r>
        <m:r>
          <m:t>i</m:t>
        </m:r>
        <m:r>
          <m:t>l</m:t>
        </m:r>
        <m:r>
          <m:rPr>
            <m:sty m:val="p"/>
          </m:rPr>
          <m:t>)</m:t>
        </m:r>
        <m:r>
          <m:rPr>
            <m:sty m:val="p"/>
          </m:rPr>
          <m:t>,</m:t>
        </m:r>
        <m:r>
          <m:t>t</m:t>
        </m:r>
        <m:r>
          <m:t>r</m:t>
        </m:r>
        <m:r>
          <m:t>a</m:t>
        </m:r>
        <m:r>
          <m:t>c</m:t>
        </m:r>
        <m:r>
          <m:t>k</m:t>
        </m:r>
        <m:r>
          <m:t>i</m:t>
        </m:r>
        <m:r>
          <m:t>n</m:t>
        </m:r>
        <m:r>
          <m:t>g</m:t>
        </m:r>
        <m:r>
          <m:t>t</m:t>
        </m:r>
        <m:r>
          <m:t>o</m:t>
        </m:r>
        <m:r>
          <m:t>w</m:t>
        </m:r>
        <m:r>
          <m:t>a</m:t>
        </m:r>
        <m:r>
          <m:t>r</m:t>
        </m:r>
        <m:r>
          <m:t>d</m:t>
        </m:r>
        <m:r>
          <m:t>a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500M+ by 2028** target. Any updated dose cadence is a key sentiment driver.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Photonova Spectra</w:t>
      </w:r>
      <w:r>
        <w:t xml:space="preserve"> </w:t>
      </w:r>
      <w:r>
        <w:t xml:space="preserve">(photon-counting CT): cleared in U.S./Japan; a</w:t>
      </w:r>
      <w:r>
        <w:t xml:space="preserve"> </w:t>
      </w:r>
      <w:r>
        <w:rPr>
          <w:b/>
          <w:bCs/>
        </w:rPr>
        <w:t xml:space="preserve">&gt;$100M order funnel</w:t>
      </w:r>
      <w:r>
        <w:t xml:space="preserve"> </w:t>
      </w:r>
      <w:r>
        <w:t xml:space="preserve">with revenue conversion typically 9–14 months out. Early order commentary matters.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Manganese-based, gadolinium-free MRI contrast agent</w:t>
      </w:r>
      <w:r>
        <w:t xml:space="preserve">: first patient dosed in Phase II/III, FDA Fast Track — a potential</w:t>
      </w:r>
      <w:r>
        <w:t xml:space="preserve"> </w:t>
      </w:r>
      <w:r>
        <w:rPr>
          <w:b/>
          <w:bCs/>
        </w:rPr>
        <w:t xml:space="preserve">2029 launch</w:t>
      </w:r>
      <w:r>
        <w:t xml:space="preserve"> </w:t>
      </w:r>
      <w:r>
        <w:t xml:space="preserve">into a ~$1.2B market. Longer-dated optionality.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Vizamyl</w:t>
      </w:r>
      <w:r>
        <w:t xml:space="preserve"> </w:t>
      </w:r>
      <w:r>
        <w:t xml:space="preserve">ramping on Alzheimer's therapy adoption.</w:t>
      </w:r>
    </w:p>
    <w:bookmarkEnd w:id="15"/>
    <w:bookmarkStart w:id="16" w:name="X23bd0874040835983fcec8b71998fd7b37eaa26"/>
    <w:p>
      <w:pPr>
        <w:pStyle w:val="Heading3"/>
      </w:pPr>
      <w:r>
        <w:t xml:space="preserve">5. Orders, backlog, China, and tariffs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Orders/backlog:</w:t>
      </w:r>
      <w:r>
        <w:t xml:space="preserve"> </w:t>
      </w:r>
      <w:r>
        <w:t xml:space="preserve">Q1 orders grew just +1.1% against a tough +10.3% comp, book-to-bill 1.07x,</w:t>
      </w:r>
      <w:r>
        <w:t xml:space="preserve"> </w:t>
      </w:r>
      <w:r>
        <w:rPr>
          <w:b/>
          <w:bCs/>
        </w:rPr>
        <w:t xml:space="preserve">record backlog $21.8B</w:t>
      </w:r>
      <w:r>
        <w:t xml:space="preserve">. The +3.5% organic in Q2 with "strong orders" per the preannouncement should support the H2 acceleration thesis — but verify book-to-bill stays &gt;1.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China:</w:t>
      </w:r>
      <w:r>
        <w:t xml:space="preserve"> </w:t>
      </w:r>
      <w:r>
        <w:t xml:space="preserve">still expected</w:t>
      </w:r>
      <w:r>
        <w:t xml:space="preserve"> </w:t>
      </w:r>
      <w:r>
        <w:rPr>
          <w:b/>
          <w:bCs/>
        </w:rPr>
        <w:t xml:space="preserve">down YoY</w:t>
      </w:r>
      <w:r>
        <w:t xml:space="preserve"> </w:t>
      </w:r>
      <w:r>
        <w:t xml:space="preserve">for 2026, but management flagged sequential improvement and "green shoots." Any confirmation of stabilization is incremental positive.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Tariffs:</w:t>
      </w:r>
      <w:r>
        <w:t xml:space="preserve"> </w:t>
      </w:r>
      <w:r>
        <w:t xml:space="preserve">expected to be a</w:t>
      </w:r>
      <w:r>
        <w:t xml:space="preserve"> </w:t>
      </w:r>
      <w:r>
        <w:rPr>
          <w:b/>
          <w:bCs/>
        </w:rPr>
        <w:t xml:space="preserve">smaller headwind than 2025</w:t>
      </w:r>
      <w:r>
        <w:t xml:space="preserve"> </w:t>
      </w:r>
      <w:r>
        <w:t xml:space="preserve">and diminishing through the year; the company plans to file for</w:t>
      </w:r>
      <w:r>
        <w:t xml:space="preserve"> </w:t>
      </w:r>
      <w:r>
        <w:rPr>
          <w:b/>
          <w:bCs/>
        </w:rPr>
        <w:t xml:space="preserve">refunds</w:t>
      </w:r>
      <w:r>
        <w:t xml:space="preserve"> </w:t>
      </w:r>
      <w:r>
        <w:t xml:space="preserve">on 2025 tariffs (not in guidance — potential upside/optionality).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18" w:name="market-setup"/>
    <w:p>
      <w:pPr>
        <w:pStyle w:val="Heading2"/>
      </w:pPr>
      <w:r>
        <w:t xml:space="preserve">Market setup</w:t>
      </w:r>
    </w:p>
    <w:p>
      <w:pPr>
        <w:pStyle w:val="FirstParagraph"/>
      </w:pPr>
      <w:r>
        <w:t xml:space="preserve">The stock has been range-bound in the low-to-mid</w:t>
      </w:r>
      <w:r>
        <w:t xml:space="preserve"> </w:t>
      </w:r>
      <m:oMath>
        <m:r>
          <m:t>60</m:t>
        </m:r>
        <m:r>
          <m:t>s</m:t>
        </m:r>
        <m:r>
          <m:rPr>
            <m:sty m:val="p"/>
          </m:rPr>
          <m:t>.</m:t>
        </m:r>
        <m:r>
          <m:t>S</m:t>
        </m:r>
        <m:r>
          <m:t>h</m:t>
        </m:r>
        <m:r>
          <m:t>a</m:t>
        </m:r>
        <m:r>
          <m:t>r</m:t>
        </m:r>
        <m:r>
          <m:t>e</m:t>
        </m:r>
        <m:r>
          <m:t>s</m:t>
        </m:r>
        <m:r>
          <m:t>s</m:t>
        </m:r>
        <m:r>
          <m:t>o</m:t>
        </m:r>
        <m:r>
          <m:t>f</m:t>
        </m:r>
        <m:r>
          <m:t>t</m:t>
        </m:r>
        <m:r>
          <m:t>e</m:t>
        </m:r>
        <m:r>
          <m:t>n</m:t>
        </m:r>
        <m:r>
          <m:t>e</m:t>
        </m:r>
        <m:r>
          <m:t>d</m:t>
        </m:r>
        <m:r>
          <m:t>i</m:t>
        </m:r>
        <m:r>
          <m:t>n</m:t>
        </m:r>
        <m:r>
          <m:t>t</m:t>
        </m:r>
        <m:r>
          <m:t>o</m:t>
        </m:r>
        <m:r>
          <m:t>t</m:t>
        </m:r>
        <m:r>
          <m:t>h</m:t>
        </m:r>
        <m:r>
          <m:t>e</m:t>
        </m:r>
        <m:r>
          <m:t>J</m:t>
        </m:r>
        <m:r>
          <m:t>u</m:t>
        </m:r>
        <m:r>
          <m:t>l</m:t>
        </m:r>
        <m:r>
          <m:t>y</m:t>
        </m:r>
        <m:r>
          <m:t>23</m:t>
        </m:r>
        <m:r>
          <m:t>p</m:t>
        </m:r>
        <m:r>
          <m:t>r</m:t>
        </m:r>
        <m:r>
          <m:t>e</m:t>
        </m:r>
        <m:r>
          <m:t>a</m:t>
        </m:r>
        <m:r>
          <m:t>n</m:t>
        </m:r>
        <m:r>
          <m:t>n</m:t>
        </m:r>
        <m:r>
          <m:t>o</m:t>
        </m:r>
        <m:r>
          <m:t>u</m:t>
        </m:r>
        <m:r>
          <m:t>n</m:t>
        </m:r>
        <m:r>
          <m:t>c</m:t>
        </m:r>
        <m:r>
          <m:t>e</m:t>
        </m:r>
        <m:r>
          <m:t>m</m:t>
        </m:r>
        <m:r>
          <m:t>e</m:t>
        </m:r>
        <m:r>
          <m:t>n</m:t>
        </m:r>
        <m:r>
          <m:t>t</m:t>
        </m:r>
        <m:r>
          <m:rPr>
            <m:sty m:val="p"/>
          </m:rPr>
          <m:t>(</m:t>
        </m:r>
        <m:r>
          <m:t> </m:t>
        </m:r>
      </m:oMath>
      <w:r>
        <w:t xml:space="preserve">62), dipped to ~</w:t>
      </w:r>
      <m:oMath>
        <m:r>
          <m:t>60.6</m:t>
        </m:r>
        <m:r>
          <m:t>o</m:t>
        </m:r>
        <m:r>
          <m:t>n</m:t>
        </m:r>
        <m:r>
          <m:t>7</m:t>
        </m:r>
        <m:r>
          <m:rPr>
            <m:sty m:val="p"/>
          </m:rPr>
          <m:t>/</m:t>
        </m:r>
        <m:r>
          <m:t>24</m:t>
        </m:r>
        <m:r>
          <m:t>a</m:t>
        </m:r>
        <m:r>
          <m:t>s</m:t>
        </m:r>
        <m:r>
          <m:t>t</m:t>
        </m:r>
        <m:r>
          <m:t>h</m:t>
        </m:r>
        <m:r>
          <m:t>e</m:t>
        </m:r>
        <m:r>
          <m:t>C</m:t>
        </m:r>
        <m:r>
          <m:t>F</m:t>
        </m:r>
        <m:r>
          <m:t>O</m:t>
        </m:r>
        <m:r>
          <m:t>n</m:t>
        </m:r>
        <m:r>
          <m:t>e</m:t>
        </m:r>
        <m:r>
          <m:t>w</m:t>
        </m:r>
        <m:r>
          <m:t>s</m:t>
        </m:r>
        <m:r>
          <m:t>w</m:t>
        </m:r>
        <m:r>
          <m:t>e</m:t>
        </m:r>
        <m:r>
          <m:t>i</m:t>
        </m:r>
        <m:r>
          <m:t>g</m:t>
        </m:r>
        <m:r>
          <m:t>h</m:t>
        </m:r>
        <m:r>
          <m:t>e</m:t>
        </m:r>
        <m:r>
          <m:t>d</m:t>
        </m:r>
        <m:r>
          <m:rPr>
            <m:sty m:val="p"/>
          </m:rPr>
          <m:t>,</m:t>
        </m:r>
        <m:r>
          <m:t>t</m:t>
        </m:r>
        <m:r>
          <m:t>h</m:t>
        </m:r>
        <m:r>
          <m:t>e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r</m:t>
        </m:r>
        <m:r>
          <m:t>a</m:t>
        </m:r>
        <m:r>
          <m:t>l</m:t>
        </m:r>
        <m:r>
          <m:t>l</m:t>
        </m:r>
        <m:r>
          <m:t>i</m:t>
        </m:r>
        <m:r>
          <m:t>e</m:t>
        </m:r>
        <m:r>
          <m:t>d</m:t>
        </m:r>
        <m:r>
          <m:t>t</m:t>
        </m:r>
        <m:r>
          <m:t>o</m:t>
        </m:r>
        <m:r>
          <m:t> </m:t>
        </m:r>
      </m:oMath>
      <w:r>
        <w:t xml:space="preserve">64 by 7/28** — suggesting the market ultimately read the beat + reaffirm as net positive and looked through the CFO change. That recovery raises the bar somewhat: with the top-line beat and EPS upside already in the price, the report's swing factors are</w:t>
      </w:r>
      <w:r>
        <w:t xml:space="preserve"> </w:t>
      </w:r>
      <w:r>
        <w:rPr>
          <w:b/>
          <w:bCs/>
        </w:rPr>
        <w:t xml:space="preserve">(a) H2 margin/EPS credibility, (b) CFO-transition tone, and (c) segment-recast clarity</w:t>
      </w:r>
      <w:r>
        <w:t xml:space="preserve"> </w:t>
      </w:r>
      <w:r>
        <w:t xml:space="preserve">rather than the Q2 numbers themselves.</w:t>
      </w:r>
    </w:p>
    <w:p>
      <w:r>
        <w:pict>
          <v:rect style="width:0;height:1.5pt" o:hralign="center" o:hrstd="t" o:hr="t"/>
        </w:pict>
      </w:r>
    </w:p>
    <w:bookmarkEnd w:id="18"/>
    <w:bookmarkStart w:id="19" w:name="what-would-move-the-stock"/>
    <w:p>
      <w:pPr>
        <w:pStyle w:val="Heading2"/>
      </w:pPr>
      <w:r>
        <w:t xml:space="preserve">What would move the stock</w:t>
      </w:r>
    </w:p>
    <w:p>
      <w:pPr>
        <w:pStyle w:val="FirstParagraph"/>
      </w:pPr>
      <w:r>
        <w:rPr>
          <w:b/>
          <w:bCs/>
        </w:rPr>
        <w:t xml:space="preserve">Positive:</w:t>
      </w:r>
      <w:r>
        <w:t xml:space="preserve"> </w:t>
      </w:r>
      <w:r>
        <w:t xml:space="preserve">A guidance raise (or clearly conservative-looking reaffirm) driven by faster inflation mitigation; PCS inflection signs; accelerating Flyrcado doses and Photonova orders; book-to-bill &gt;1 with backlog growth; constructive China commentary; reassuring CFO-transition messaging.</w:t>
      </w:r>
    </w:p>
    <w:p>
      <w:pPr>
        <w:pStyle w:val="BodyText"/>
      </w:pPr>
      <w:r>
        <w:rPr>
          <w:b/>
          <w:bCs/>
        </w:rPr>
        <w:t xml:space="preserve">Negative:</w:t>
      </w:r>
      <w:r>
        <w:t xml:space="preserve"> </w:t>
      </w:r>
      <w:r>
        <w:t xml:space="preserve">Any wobble on the H2 margin ramp (gross margin was only expected to be "roughly neutral" YoY, so limited cushion); PCS failing to inflect; a messy/dilutive-looking segment recast; incremental input-cost or tariff pressure; or signals that the CFO search/transition creates strategic uncertainty.</w:t>
      </w:r>
    </w:p>
    <w:p>
      <w:pPr>
        <w:pStyle w:val="BodyText"/>
      </w:pPr>
      <w:r>
        <w:rPr>
          <w:i/>
          <w:iCs/>
        </w:rPr>
        <w:t xml:space="preserve">Note: figures above are drawn from GEHC's Q1 2026 earnings call (April 29), the Q2 2026 preliminary results / CFO-transition 8-K (July 23), and the Q2 2025 earnings release (July 30, 2025). Q2 2026 headline figures are preliminary and unaudited; the full report on July 29 will provide segment detail, cash flow, and the recast.</w:t>
      </w:r>
    </w:p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2026-07-29T00:38:23Z</dcterms:created>
  <dcterms:modified xsi:type="dcterms:W3CDTF">2026-07-29T00:38:23Z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