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ehc-earnings-predictions--2026-07-29"/>
    <w:p>
      <w:pPr>
        <w:pStyle w:val="Heading1"/>
      </w:pPr>
      <w:r>
        <w:t xml:space="preserve">GEHC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Total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5.29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5.7</m:t>
              </m:r>
            </m:oMath>
            <w:r>
              <w:t xml:space="preserve">5.26B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~$1.06-1.08 (pre-announced 'above prior expectation' vs. guided low-single-digit decline off</w:t>
            </w:r>
            <w:r>
              <w:t xml:space="preserve"> </w:t>
            </w:r>
            <m:oMath>
              <m:r>
                <m:t>1.06</m:t>
              </m:r>
              <m:r>
                <m:t>b</m:t>
              </m:r>
              <m:r>
                <m:t>a</m:t>
              </m:r>
              <m:r>
                <m:t>s</m:t>
              </m:r>
              <m:r>
                <m:t>e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1.03-1.04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EBIT Margin (first look at new AIS-segment structure)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~14.0%-14.3% (sequential improvement from Q1's 13.5% but still below prior-year 14.6% given inflation offsets weighted to H2) vs. implied cons ~14.5%-14.8%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4.80</m:t>
              </m:r>
              <m:r>
                <m:rPr>
                  <m:sty m:val="p"/>
                </m:rPr>
                <m:t>−</m:t>
              </m:r>
            </m:oMath>
            <w:r>
              <w:t xml:space="preserve">5.00 (reaffirmed) vs. cons ~$4.89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EBIT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~15.4%-15.7% (reaffirmed) vs. cons ~15.5% midpoint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Free Cash Flow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1.6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r</m:t>
              </m:r>
              <m:r>
                <m:t>e</m:t>
              </m:r>
              <m:r>
                <m:t>a</m:t>
              </m:r>
              <m:r>
                <m:t>f</m:t>
              </m:r>
              <m:r>
                <m:t>f</m:t>
              </m:r>
              <m:r>
                <m:t>i</m:t>
              </m:r>
              <m:r>
                <m:t>r</m:t>
              </m:r>
              <m:r>
                <m:t>m</m:t>
              </m:r>
              <m:r>
                <m:t>e</m:t>
              </m:r>
              <m:r>
                <m:t>d</m:t>
              </m:r>
              <m:r>
                <m:rPr>
                  <m:sty m:val="p"/>
                </m:rPr>
                <m:t>,</m:t>
              </m:r>
              <m:r>
                <m:t>c</m:t>
              </m:r>
              <m:r>
                <m:t>u</m:t>
              </m:r>
              <m:r>
                <m:t>t</m:t>
              </m:r>
              <m:r>
                <m:t>f</m:t>
              </m:r>
              <m:r>
                <m:t>r</m:t>
              </m:r>
              <m:r>
                <m:t>o</m:t>
              </m:r>
              <m:r>
                <m:t>m</m:t>
              </m:r>
              <m:r>
                <m:t> </m:t>
              </m:r>
            </m:oMath>
            <w:r>
              <w:t xml:space="preserve">1.7B in April) vs. cons ~$1.6B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H2 2026 margin-recovery/PCS turnaround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implies ~200-300bps sequential margin ramp needed (from ~13.5%-14.3% in 1H) to ~16%+ average in 2H to hit 15.4%-15.7% FY vs. cons assuming a smoother, less back-half-loaded ramp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GEHC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(FADE)</w:t>
            </w:r>
          </w:p>
        </w:tc>
        <w:tc>
          <w:tcPr/>
          <w:p>
            <w:pPr>
              <w:pStyle w:val="Compact"/>
            </w:pPr>
            <w:r>
              <w:t xml:space="preserve">Headline revenue/EPS already pre-announced and partly priced in (stock +5% into the print), so day-1 pop is likely a modest relief rally confirming the beat and CFO-transition reassurance. But the FY guide requires Adjusted EBIT margin to ramp from ~13.5% in Q1 and a still-soft Q2 (~14.0-14.3%) to well above 16% in H2 to hit the reaffirmed 15.4%-15.7% full-year range — a steep implicit acceleration. As analysts rebuild segment/quarterly models post-print, this back-half margin math (plus lingering PCS/anesthesia-launch timing risk and an unresolved permanent CFO search) likely triggers incremental FY26/FY27 EPS estimate trims even after a 'beat' quarter, fading the initial pop over the week.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2026-07-29T00:36:37Z</dcterms:created>
  <dcterms:modified xsi:type="dcterms:W3CDTF">2026-07-29T00:36:37Z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