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6fb864c2fb89270e7eba4208d92fb85dd86aa42"/>
    <w:p>
      <w:pPr>
        <w:pStyle w:val="Heading1"/>
      </w:pPr>
      <w:r>
        <w:t xml:space="preserve">GE HealthCare (GEHC) — Q2 2026 Earnings Preview</w:t>
      </w:r>
    </w:p>
    <w:p>
      <w:pPr>
        <w:pStyle w:val="FirstParagraph"/>
      </w:pPr>
      <w:r>
        <w:rPr>
          <w:b/>
          <w:bCs/>
        </w:rPr>
        <w:t xml:space="preserve">Report date:</w:t>
      </w:r>
      <w:r>
        <w:t xml:space="preserve"> </w:t>
      </w:r>
      <w:r>
        <w:t xml:space="preserve">Wednesday, July 29, 2026, before market open (8:30 am ET call)</w:t>
      </w:r>
    </w:p>
    <w:p>
      <w:r>
        <w:pict>
          <v:rect style="width:0;height:1.5pt" o:hralign="center" o:hrstd="t" o:hr="t"/>
        </w:pict>
      </w:r>
    </w:p>
    <w:bookmarkStart w:id="9" w:name="Xd13f8b95de1fe74e7de330f37940750645e542f"/>
    <w:p>
      <w:pPr>
        <w:pStyle w:val="Heading2"/>
      </w:pPr>
      <w:r>
        <w:t xml:space="preserve">1. Setup: This Is Not a Typical "Blind" Print</w:t>
      </w:r>
    </w:p>
    <w:p>
      <w:pPr>
        <w:pStyle w:val="FirstParagraph"/>
      </w:pPr>
      <w:r>
        <w:t xml:space="preserve">Unusually, investors already know the headline numbers. On July 23, GEHC pre-announced preliminary Q2 results alongside a surprise CFO transition. GE HealthCare expects to report year-over-year Revenue growth of 5.7% and Organic revenue growth of 3.5%, with year-over-year growth in diluted EPS and Adjusted EPS above its prior expectation. For the full-year 2026, the company reaffirmed the guidance provided on April 29, 2026.</w:t>
      </w:r>
    </w:p>
    <w:p>
      <w:pPr>
        <w:pStyle w:val="BodyText"/>
      </w:pPr>
      <w:r>
        <w:t xml:space="preserve">At the same time, James (Jay) Saccaro will step down as Vice President and Chief Financial Officer for an expanded role outside of the medical technology industry, with George Newcomb, currently Controller and Chief Accounting Officer, appointed interim CFO while the company searches for a permanent successor, and Saccaro will stay on through mid-August to help with the transition. So the "surprise" factor tomorrow is limited to the details behind the headline beat — segment-level margins, cash flow, backlog/orders, China trends, and any color on the CFO search — rather than the topline print itself.</w:t>
      </w:r>
    </w:p>
    <w:p>
      <w:pPr>
        <w:pStyle w:val="BodyText"/>
      </w:pPr>
      <w:r>
        <w:t xml:space="preserve">Management framed the quarter positively: "We are pleased with the momentum in our business, reflecting strong orders, healthy end market demand, traction with new products, and continued commercial execution," said CEO Peter Arduini.</w:t>
      </w:r>
    </w:p>
    <w:bookmarkEnd w:id="9"/>
    <w:bookmarkStart w:id="10" w:name="Xac08a1551aa9382aa82bb669574a87d40e8142d"/>
    <w:p>
      <w:pPr>
        <w:pStyle w:val="Heading2"/>
      </w:pPr>
      <w:r>
        <w:t xml:space="preserve">2. The Setup Coming Out of Q1: A Guidance Cut and a Cost Shock</w:t>
      </w:r>
    </w:p>
    <w:p>
      <w:pPr>
        <w:pStyle w:val="FirstParagraph"/>
      </w:pPr>
      <w:r>
        <w:t xml:space="preserve">To understand why the Q2 pre-announcement mattered so much, recall Q1 2026 was messy. GEHC delivered $5.1 billion of revenue (2.9% organic growth) but disappointed on profit, and management cut full-year guidance mid-quarter due to a sharp, unexpected inflation shock:</w:t>
      </w:r>
    </w:p>
    <w:p>
      <w:pPr>
        <w:pStyle w:val="Compact"/>
        <w:numPr>
          <w:ilvl w:val="0"/>
          <w:numId w:val="1001"/>
        </w:numPr>
      </w:pPr>
      <w:r>
        <w:rPr>
          <w:b/>
          <w:bCs/>
        </w:rPr>
        <w:t xml:space="preserve">Input cost spike:</w:t>
      </w:r>
      <w:r>
        <w:t xml:space="preserve"> </w:t>
      </w:r>
      <w:r>
        <w:t xml:space="preserve">Management identified an approximate $100 million increase in the price of memory chips, an increase in oil and freight costs of approximately $100 million, and other inflation impacts of approximately $50 million such as tungsten, totaling a gross impact of approximately $250 million or $0.43 per share prior to any mitigation.</w:t>
      </w:r>
    </w:p>
    <w:p>
      <w:pPr>
        <w:pStyle w:val="Compact"/>
        <w:numPr>
          <w:ilvl w:val="0"/>
          <w:numId w:val="1001"/>
        </w:numPr>
      </w:pPr>
      <w:r>
        <w:rPr>
          <w:b/>
          <w:bCs/>
        </w:rPr>
        <w:t xml:space="preserve">Guidance cut:</w:t>
      </w:r>
      <w:r>
        <w:t xml:space="preserve"> </w:t>
      </w:r>
      <w:r>
        <w:t xml:space="preserve">As a result, GEHC reduced full-year adjusted EPS guidance to</w:t>
      </w:r>
      <w:r>
        <w:t xml:space="preserve"> </w:t>
      </w:r>
      <m:oMath>
        <m:r>
          <m:t>4.80</m:t>
        </m:r>
        <m:r>
          <m:rPr>
            <m:sty m:val="p"/>
          </m:rPr>
          <m:t>–</m:t>
        </m:r>
      </m:oMath>
      <w:r>
        <w:rPr>
          <w:b/>
          <w:bCs/>
        </w:rPr>
        <w:t xml:space="preserve">5.00</w:t>
      </w:r>
      <w:r>
        <w:t xml:space="preserve"> </w:t>
      </w:r>
      <w:r>
        <w:t xml:space="preserve">(from a higher prior range) and adjusted EBIT margin guidance to</w:t>
      </w:r>
      <w:r>
        <w:t xml:space="preserve"> </w:t>
      </w:r>
      <w:r>
        <w:rPr>
          <w:b/>
          <w:bCs/>
        </w:rPr>
        <w:t xml:space="preserve">15.4%–15.7%</w:t>
      </w:r>
      <w:r>
        <w:t xml:space="preserve">, while reaffirming 3%–4% organic revenue growth and cutting free cash flow guidance to</w:t>
      </w:r>
      <w:r>
        <w:t xml:space="preserve"> </w:t>
      </w:r>
      <w:r>
        <w:rPr>
          <w:b/>
          <w:bCs/>
        </w:rPr>
        <w:t xml:space="preserve">~$1.6 billion</w:t>
      </w:r>
      <w:r>
        <w:t xml:space="preserve">.</w:t>
      </w:r>
    </w:p>
    <w:p>
      <w:pPr>
        <w:pStyle w:val="Compact"/>
        <w:numPr>
          <w:ilvl w:val="0"/>
          <w:numId w:val="1001"/>
        </w:numPr>
      </w:pPr>
      <w:r>
        <w:rPr>
          <w:b/>
          <w:bCs/>
        </w:rPr>
        <w:t xml:space="preserve">Tariffs:</w:t>
      </w:r>
      <w:r>
        <w:t xml:space="preserve"> </w:t>
      </w:r>
      <w:r>
        <w:t xml:space="preserve">Q1 adjusted EPS absorbed roughly $0.16 of tariff impact, with Q1 flagged as the peak-impact quarter for the year given the timing of 2025 policy changes.</w:t>
      </w:r>
    </w:p>
    <w:p>
      <w:pPr>
        <w:pStyle w:val="Compact"/>
        <w:numPr>
          <w:ilvl w:val="0"/>
          <w:numId w:val="1001"/>
        </w:numPr>
      </w:pPr>
      <w:r>
        <w:rPr>
          <w:b/>
          <w:bCs/>
        </w:rPr>
        <w:t xml:space="preserve">Segment divergence:</w:t>
      </w:r>
      <w:r>
        <w:t xml:space="preserve"> </w:t>
      </w:r>
      <w:r>
        <w:t xml:space="preserve">Imaging grew 3.8%, Advanced Visualization Solutions grew 4.4%, Pharmaceutical Diagnostics (PDx) grew a strong 9.7% (driven by contrast media, radiopharmaceuticals, and price), while Patient Care Solutions (PCS) declined 8.1% due to lumpy large monitoring installations and a delayed premium anesthesia product launch.</w:t>
      </w:r>
    </w:p>
    <w:p>
      <w:pPr>
        <w:pStyle w:val="Compact"/>
        <w:numPr>
          <w:ilvl w:val="0"/>
          <w:numId w:val="1001"/>
        </w:numPr>
      </w:pPr>
      <w:r>
        <w:rPr>
          <w:b/>
          <w:bCs/>
        </w:rPr>
        <w:t xml:space="preserve">Structural change:</w:t>
      </w:r>
      <w:r>
        <w:t xml:space="preserve"> </w:t>
      </w:r>
      <w:r>
        <w:t xml:space="preserve">Effective this quarter, GEHC collapsed four segments into three — merging Imaging and AVS into a new</w:t>
      </w:r>
      <w:r>
        <w:t xml:space="preserve"> </w:t>
      </w:r>
      <w:r>
        <w:rPr>
          <w:b/>
          <w:bCs/>
        </w:rPr>
        <w:t xml:space="preserve">Advanced Imaging Solutions (AIS)</w:t>
      </w:r>
      <w:r>
        <w:t xml:space="preserve"> </w:t>
      </w:r>
      <w:r>
        <w:t xml:space="preserve">segment — meaning Q2 will be the first quarter reported under the new structure, complicating historical comparisons.</w:t>
      </w:r>
    </w:p>
    <w:p>
      <w:pPr>
        <w:pStyle w:val="FirstParagraph"/>
      </w:pPr>
      <w:r>
        <w:t xml:space="preserve">Management guided Q2 specifically for</w:t>
      </w:r>
      <w:r>
        <w:t xml:space="preserve"> </w:t>
      </w:r>
      <w:r>
        <w:rPr>
          <w:b/>
          <w:bCs/>
        </w:rPr>
        <w:t xml:space="preserve">3%–4% organic revenue growth</w:t>
      </w:r>
      <w:r>
        <w:t xml:space="preserve"> </w:t>
      </w:r>
      <w:r>
        <w:t xml:space="preserve">and a</w:t>
      </w:r>
      <w:r>
        <w:t xml:space="preserve"> </w:t>
      </w:r>
      <w:r>
        <w:rPr>
          <w:b/>
          <w:bCs/>
        </w:rPr>
        <w:t xml:space="preserve">low-single-digit decline in adjusted EPS</w:t>
      </w:r>
      <w:r>
        <w:t xml:space="preserve"> </w:t>
      </w:r>
      <w:r>
        <w:t xml:space="preserve">year-over-year, given the timing of inflation offsets (price/cost actions were expected to weight more heavily toward H2).</w:t>
      </w:r>
    </w:p>
    <w:bookmarkEnd w:id="10"/>
    <w:bookmarkStart w:id="11" w:name="Xd3fd236a795d31c2192e634e83da70f54655212"/>
    <w:p>
      <w:pPr>
        <w:pStyle w:val="Heading2"/>
      </w:pPr>
      <w:r>
        <w:t xml:space="preserve">3. What the Pre-Announcement Tells Us — and What It Doesn't</w:t>
      </w:r>
    </w:p>
    <w:p>
      <w:pPr>
        <w:pStyle w:val="FirstParagraph"/>
      </w:pPr>
      <w:r>
        <w:t xml:space="preserve">The good news: organic growth of 3.5% represents a step up from Q1's 2.9%, sits within the full-year 3%–4% target, and EPS came in</w:t>
      </w:r>
      <w:r>
        <w:t xml:space="preserve"> </w:t>
      </w:r>
      <w:r>
        <w:rPr>
          <w:b/>
          <w:bCs/>
        </w:rPr>
        <w:t xml:space="preserve">better</w:t>
      </w:r>
      <w:r>
        <w:t xml:space="preserve"> </w:t>
      </w:r>
      <w:r>
        <w:t xml:space="preserve">than the "down low-single-digits" guide, all while the company reaffirmed the full-year outlook rather than raising or cutting it. One analysis of the pre-release noted this "marks a notable acceleration from Q1's 2.9% rate," and that "reaffirming full-year revenue and profit targets signals that GE HealthCare's operational mitigations, such as localizing supply chains and multi-sourcing, are successfully neutralizing supply chain inflation and tariff impacts."</w:t>
      </w:r>
    </w:p>
    <w:p>
      <w:pPr>
        <w:pStyle w:val="BodyText"/>
      </w:pPr>
      <w:r>
        <w:t xml:space="preserve">What's still missing — and what tomorrow's full release needs to clarify:</w:t>
      </w:r>
    </w:p>
    <w:p>
      <w:pPr>
        <w:pStyle w:val="Compact"/>
        <w:numPr>
          <w:ilvl w:val="0"/>
          <w:numId w:val="1002"/>
        </w:numPr>
      </w:pPr>
      <w:r>
        <w:rPr>
          <w:b/>
          <w:bCs/>
        </w:rPr>
        <w:t xml:space="preserve">Segment-level detail</w:t>
      </w:r>
      <w:r>
        <w:t xml:space="preserve">, especially whether PCS has stabilized (the anesthesia product launch was slated for Q3) and whether the new AIS segment shows accelerating growth.</w:t>
      </w:r>
    </w:p>
    <w:p>
      <w:pPr>
        <w:pStyle w:val="Compact"/>
        <w:numPr>
          <w:ilvl w:val="0"/>
          <w:numId w:val="1002"/>
        </w:numPr>
      </w:pPr>
      <w:r>
        <w:rPr>
          <w:b/>
          <w:bCs/>
        </w:rPr>
        <w:t xml:space="preserve">China performance</w:t>
      </w:r>
      <w:r>
        <w:t xml:space="preserve"> </w:t>
      </w:r>
      <w:r>
        <w:t xml:space="preserve">— Q1 China revenue declined but improved sequentially, with management citing "green shoots"; investors will want confirmation the trend continued.</w:t>
      </w:r>
    </w:p>
    <w:p>
      <w:pPr>
        <w:pStyle w:val="Compact"/>
        <w:numPr>
          <w:ilvl w:val="0"/>
          <w:numId w:val="1002"/>
        </w:numPr>
      </w:pPr>
      <w:r>
        <w:rPr>
          <w:b/>
          <w:bCs/>
        </w:rPr>
        <w:t xml:space="preserve">Margin bridge/cash flow</w:t>
      </w:r>
      <w:r>
        <w:t xml:space="preserve"> </w:t>
      </w:r>
      <w:r>
        <w:t xml:space="preserve">— the preliminary release only covered revenue and EPS direction, not adjusted EBIT margin, free cash flow, or backlog/orders, which matter given the tariff/inflation offsets were expected to ramp in H2.</w:t>
      </w:r>
    </w:p>
    <w:p>
      <w:pPr>
        <w:pStyle w:val="Compact"/>
        <w:numPr>
          <w:ilvl w:val="0"/>
          <w:numId w:val="1002"/>
        </w:numPr>
      </w:pPr>
      <w:r>
        <w:rPr>
          <w:b/>
          <w:bCs/>
        </w:rPr>
        <w:t xml:space="preserve">CFO transition commentary</w:t>
      </w:r>
      <w:r>
        <w:t xml:space="preserve"> </w:t>
      </w:r>
      <w:r>
        <w:t xml:space="preserve">— any timeline or process detail on the permanent CFO search, and reassurance on continuity of the capital allocation and pricing/cost mitigation programs Saccaro had been driving.</w:t>
      </w:r>
    </w:p>
    <w:p>
      <w:pPr>
        <w:pStyle w:val="FirstParagraph"/>
      </w:pPr>
      <w:r>
        <w:t xml:space="preserve">As one write-up framed it: bears will focus on "the sudden departure of CFO Jay Saccaro after three years," which "creates unexpected leadership transition friction as the company navigates ongoing cost pressures, including memory-chip inflation, elevated freight costs, and tariff dynamics." Full segment-level operating margins, free cash flow, and China performance remain undisclosed until tomorrow's report, and "lingering margin pressure in segments like Patient Care Solutions (PCS) could temper full-year profitability if equipment upgrades decelerate among hospital networks facing budget constraints."</w:t>
      </w:r>
    </w:p>
    <w:bookmarkEnd w:id="11"/>
    <w:bookmarkStart w:id="12" w:name="X28a5ad2081e2d3534171957c93f31a40268f069"/>
    <w:p>
      <w:pPr>
        <w:pStyle w:val="Heading2"/>
      </w:pPr>
      <w:r>
        <w:t xml:space="preserve">4. Consensus Estimates Going In</w:t>
      </w:r>
    </w:p>
    <w:p>
      <w:pPr>
        <w:pStyle w:val="Compact"/>
        <w:numPr>
          <w:ilvl w:val="0"/>
          <w:numId w:val="1003"/>
        </w:numPr>
      </w:pPr>
      <w:r>
        <w:rPr>
          <w:b/>
          <w:bCs/>
        </w:rPr>
        <w:t xml:space="preserve">Q2 2026 consensus:</w:t>
      </w:r>
      <w:r>
        <w:t xml:space="preserve"> </w:t>
      </w:r>
      <w:r>
        <w:t xml:space="preserve">EPS around</w:t>
      </w:r>
      <w:r>
        <w:t xml:space="preserve"> </w:t>
      </w:r>
      <m:oMath>
        <m:r>
          <m:t>1.03</m:t>
        </m:r>
        <m:r>
          <m:rPr>
            <m:sty m:val="p"/>
          </m:rPr>
          <m:t>–</m:t>
        </m:r>
      </m:oMath>
      <w:r>
        <w:rPr>
          <w:b/>
          <w:bCs/>
        </w:rPr>
        <w:t xml:space="preserve">1.04</w:t>
      </w:r>
      <w:r>
        <w:t xml:space="preserve"> </w:t>
      </w:r>
      <w:r>
        <w:t xml:space="preserve">on revenue of roughly</w:t>
      </w:r>
      <w:r>
        <w:t xml:space="preserve"> </w:t>
      </w:r>
      <m:oMath>
        <m:r>
          <m:t>5.25</m:t>
        </m:r>
        <m:r>
          <m:rPr>
            <m:sty m:val="p"/>
          </m:rPr>
          <m:t>–</m:t>
        </m:r>
      </m:oMath>
      <w:r>
        <w:rPr>
          <w:b/>
          <w:bCs/>
        </w:rPr>
        <w:t xml:space="preserve">5.26 billion</w:t>
      </w:r>
      <w:r>
        <w:t xml:space="preserve">, per multiple sell-side compilations.</w:t>
      </w:r>
    </w:p>
    <w:p>
      <w:pPr>
        <w:pStyle w:val="Compact"/>
        <w:numPr>
          <w:ilvl w:val="0"/>
          <w:numId w:val="1003"/>
        </w:numPr>
      </w:pPr>
      <w:r>
        <w:t xml:space="preserve">Notably, "analyst sentiment has deteriorated meaningfully over the past three months. While the EPS consensus has held steady over the past 30 days at $1.03, the 90-day view reveals a down 12.0% revision from $1.17."</w:t>
      </w:r>
    </w:p>
    <w:p>
      <w:pPr>
        <w:pStyle w:val="Compact"/>
        <w:numPr>
          <w:ilvl w:val="0"/>
          <w:numId w:val="1003"/>
        </w:numPr>
      </w:pPr>
      <w:r>
        <w:t xml:space="preserve">For context,</w:t>
      </w:r>
      <w:r>
        <w:t xml:space="preserve"> </w:t>
      </w:r>
      <w:r>
        <w:rPr>
          <w:b/>
          <w:bCs/>
        </w:rPr>
        <w:t xml:space="preserve">Q1 2026 adjusted EPS of $0.99 missed</w:t>
      </w:r>
      <w:r>
        <w:t xml:space="preserve"> </w:t>
      </w:r>
      <w:r>
        <w:t xml:space="preserve">the roughly $1.07 consensus by about 7–8%, so the bar for a "clean" beat this quarter is more about confirming the pre-announced trajectory than surprising to the upside further.</w:t>
      </w:r>
    </w:p>
    <w:p>
      <w:pPr>
        <w:pStyle w:val="Compact"/>
        <w:numPr>
          <w:ilvl w:val="0"/>
          <w:numId w:val="1003"/>
        </w:numPr>
      </w:pPr>
      <w:r>
        <w:rPr>
          <w:b/>
          <w:bCs/>
        </w:rPr>
        <w:t xml:space="preserve">Full-year 2026:</w:t>
      </w:r>
      <w:r>
        <w:t xml:space="preserve"> </w:t>
      </w:r>
      <w:r>
        <w:t xml:space="preserve">Company guidance remains</w:t>
      </w:r>
      <w:r>
        <w:t xml:space="preserve"> </w:t>
      </w:r>
      <m:oMath>
        <m:r>
          <m:t>4.80</m:t>
        </m:r>
        <m:r>
          <m:rPr>
            <m:sty m:val="p"/>
          </m:rPr>
          <m:t>–</m:t>
        </m:r>
      </m:oMath>
      <w:r>
        <w:t xml:space="preserve">5.00 adjusted EPS (mid-to-high single-digit growth) with 3%–4% organic revenue growth; Street FY26 EPS consensus sits near</w:t>
      </w:r>
      <w:r>
        <w:t xml:space="preserve"> </w:t>
      </w:r>
      <m:oMath>
        <m:r>
          <m:t>4.89</m:t>
        </m:r>
        <m:r>
          <m:rPr>
            <m:sty m:val="p"/>
          </m:rPr>
          <m:t>*</m:t>
        </m:r>
        <m:r>
          <m:rPr>
            <m:sty m:val="p"/>
          </m:rPr>
          <m:t>*</m:t>
        </m:r>
        <m:r>
          <m:rPr>
            <m:sty m:val="p"/>
          </m:rPr>
          <m:t>,</m:t>
        </m:r>
        <m:r>
          <m:t>s</m:t>
        </m:r>
        <m:r>
          <m:t>t</m:t>
        </m:r>
        <m:r>
          <m:t>e</m:t>
        </m:r>
        <m:r>
          <m:t>p</m:t>
        </m:r>
        <m:r>
          <m:t>p</m:t>
        </m:r>
        <m:r>
          <m:t>i</m:t>
        </m:r>
        <m:r>
          <m:t>n</m:t>
        </m:r>
        <m:r>
          <m:t>g</m:t>
        </m:r>
        <m:r>
          <m:t>u</m:t>
        </m:r>
        <m:r>
          <m:t>p</m:t>
        </m:r>
        <m:r>
          <m:t>t</m:t>
        </m:r>
        <m:r>
          <m:t>o</m:t>
        </m:r>
        <m:r>
          <m:t>r</m:t>
        </m:r>
        <m:r>
          <m:t>o</m:t>
        </m:r>
        <m:r>
          <m:t>u</m:t>
        </m:r>
        <m:r>
          <m:t>g</m:t>
        </m:r>
        <m:r>
          <m:t>h</m:t>
        </m:r>
        <m:r>
          <m:t>l</m:t>
        </m:r>
        <m:r>
          <m:t>y</m:t>
        </m:r>
        <m:r>
          <m:rPr>
            <m:sty m:val="p"/>
          </m:rPr>
          <m:t>*</m:t>
        </m:r>
        <m:r>
          <m:rPr>
            <m:sty m:val="p"/>
          </m:rPr>
          <m:t>*</m:t>
        </m:r>
      </m:oMath>
      <w:r>
        <w:rPr>
          <w:b/>
          <w:bCs/>
        </w:rPr>
        <w:t xml:space="preserve">5.36–$5.38</w:t>
      </w:r>
      <w:r>
        <w:t xml:space="preserve"> </w:t>
      </w:r>
      <w:r>
        <w:t xml:space="preserve">in FY27 as new products (photon-counting CT, next-gen MR, Flyrcado) ramp.</w:t>
      </w:r>
    </w:p>
    <w:bookmarkEnd w:id="12"/>
    <w:bookmarkStart w:id="13" w:name="X4802a6f4746e07f69f1b8762237bfb34b0662f6"/>
    <w:p>
      <w:pPr>
        <w:pStyle w:val="Heading2"/>
      </w:pPr>
      <w:r>
        <w:t xml:space="preserve">5. Growth Drivers to Watch</w:t>
      </w:r>
    </w:p>
    <w:p>
      <w:pPr>
        <w:pStyle w:val="Compact"/>
        <w:numPr>
          <w:ilvl w:val="0"/>
          <w:numId w:val="1004"/>
        </w:numPr>
      </w:pPr>
      <w:r>
        <w:rPr>
          <w:b/>
          <w:bCs/>
        </w:rPr>
        <w:t xml:space="preserve">Flyrcado (PET radiopharmaceutical):</w:t>
      </w:r>
      <w:r>
        <w:t xml:space="preserve"> </w:t>
      </w:r>
      <w:r>
        <w:t xml:space="preserve">Doses roughly doubled from January to April 2026, with management reiterating confidence in a</w:t>
      </w:r>
      <w:r>
        <w:t xml:space="preserve"> </w:t>
      </w:r>
      <w:r>
        <w:rPr>
          <w:b/>
          <w:bCs/>
        </w:rPr>
        <w:t xml:space="preserve">$500 million+ annual revenue target by 2028</w:t>
      </w:r>
      <w:r>
        <w:t xml:space="preserve">; watch for continued CMO network scaling and customer dose-utilization ramp.</w:t>
      </w:r>
    </w:p>
    <w:p>
      <w:pPr>
        <w:pStyle w:val="Compact"/>
        <w:numPr>
          <w:ilvl w:val="0"/>
          <w:numId w:val="1004"/>
        </w:numPr>
      </w:pPr>
      <w:r>
        <w:rPr>
          <w:b/>
          <w:bCs/>
        </w:rPr>
        <w:t xml:space="preserve">Photonova Spectra (photon-counting CT):</w:t>
      </w:r>
      <w:r>
        <w:t xml:space="preserve"> </w:t>
      </w:r>
      <w:r>
        <w:t xml:space="preserve">Received US and Japan regulatory clearance in Q1; management described a funnel of over $100 million in opportunities, with meaningful revenue conversion not expected until</w:t>
      </w:r>
      <w:r>
        <w:t xml:space="preserve"> </w:t>
      </w:r>
      <w:r>
        <w:rPr>
          <w:b/>
          <w:bCs/>
        </w:rPr>
        <w:t xml:space="preserve">first half of 2027</w:t>
      </w:r>
      <w:r>
        <w:t xml:space="preserve"> </w:t>
      </w:r>
      <w:r>
        <w:t xml:space="preserve">given typical 9–14 month order-to-revenue cycles.</w:t>
      </w:r>
    </w:p>
    <w:p>
      <w:pPr>
        <w:pStyle w:val="Compact"/>
        <w:numPr>
          <w:ilvl w:val="0"/>
          <w:numId w:val="1004"/>
        </w:numPr>
      </w:pPr>
      <w:r>
        <w:rPr>
          <w:b/>
          <w:bCs/>
        </w:rPr>
        <w:t xml:space="preserve">Novel gadolinium-free MRI contrast agent:</w:t>
      </w:r>
      <w:r>
        <w:t xml:space="preserve"> </w:t>
      </w:r>
      <w:r>
        <w:t xml:space="preserve">First patient dosed in combined Phase II/III trial under FDA Fast Track designation; a potential 2029 launch if successful, targeting the $1.2 billion contrast MRI market.</w:t>
      </w:r>
    </w:p>
    <w:p>
      <w:pPr>
        <w:pStyle w:val="Compact"/>
        <w:numPr>
          <w:ilvl w:val="0"/>
          <w:numId w:val="1004"/>
        </w:numPr>
      </w:pPr>
      <w:r>
        <w:rPr>
          <w:b/>
          <w:bCs/>
        </w:rPr>
        <w:t xml:space="preserve">Intelerad (cloud/AI imaging, closed Q1):</w:t>
      </w:r>
      <w:r>
        <w:t xml:space="preserve"> </w:t>
      </w:r>
      <w:r>
        <w:t xml:space="preserve">Expected to deliver double-digit sales growth and EBITDA margins north of 30%, roughly neutral to EPS in year one before turning accretive in 2027.</w:t>
      </w:r>
    </w:p>
    <w:p>
      <w:pPr>
        <w:pStyle w:val="Compact"/>
        <w:numPr>
          <w:ilvl w:val="0"/>
          <w:numId w:val="1004"/>
        </w:numPr>
      </w:pPr>
      <w:r>
        <w:rPr>
          <w:b/>
          <w:bCs/>
        </w:rPr>
        <w:t xml:space="preserve">PDx generics:</w:t>
      </w:r>
      <w:r>
        <w:t xml:space="preserve"> </w:t>
      </w:r>
      <w:r>
        <w:t xml:space="preserve">Management said as of Q1 it had seen no measurable impact yet from new generic entrants in contrast media, viewing any effect as more of a 2027 consideration.</w:t>
      </w:r>
    </w:p>
    <w:bookmarkEnd w:id="13"/>
    <w:bookmarkStart w:id="14" w:name="X551a424901f875b28a833760888a9cf7c7b745f"/>
    <w:p>
      <w:pPr>
        <w:pStyle w:val="Heading2"/>
      </w:pPr>
      <w:r>
        <w:t xml:space="preserve">6. Stock Performance and Valuation Context</w:t>
      </w:r>
    </w:p>
    <w:p>
      <w:pPr>
        <w:pStyle w:val="FirstParagraph"/>
      </w:pPr>
      <w:r>
        <w:t xml:space="preserve">GEHC shares have been under significant pressure in 2026 — the stock has fallen from the mid-</w:t>
      </w:r>
      <m:oMath>
        <m:r>
          <m:t>80</m:t>
        </m:r>
        <m:r>
          <m:t>s</m:t>
        </m:r>
        <m:r>
          <m:t>i</m:t>
        </m:r>
        <m:r>
          <m:t>n</m:t>
        </m:r>
        <m:r>
          <m:t>J</m:t>
        </m:r>
        <m:r>
          <m:t>a</m:t>
        </m:r>
        <m:r>
          <m:t>n</m:t>
        </m:r>
        <m:r>
          <m:t>u</m:t>
        </m:r>
        <m:r>
          <m:t>a</m:t>
        </m:r>
        <m:r>
          <m:t>r</m:t>
        </m:r>
        <m:r>
          <m:t>y</m:t>
        </m:r>
        <m:r>
          <m:t>t</m:t>
        </m:r>
        <m:r>
          <m:t>o</m:t>
        </m:r>
        <m:r>
          <m:t>r</m:t>
        </m:r>
        <m:r>
          <m:t>o</m:t>
        </m:r>
        <m:r>
          <m:t>u</m:t>
        </m:r>
        <m:r>
          <m:t>g</m:t>
        </m:r>
        <m:r>
          <m:t>h</m:t>
        </m:r>
        <m:r>
          <m:t>l</m:t>
        </m:r>
        <m:r>
          <m:t>y</m:t>
        </m:r>
        <m:r>
          <m:t>t</m:t>
        </m:r>
        <m:r>
          <m:t>h</m:t>
        </m:r>
        <m:r>
          <m:t>e</m:t>
        </m:r>
        <m:r>
          <m:rPr>
            <m:sty m:val="p"/>
          </m:rPr>
          <m:t>*</m:t>
        </m:r>
        <m:r>
          <m:rPr>
            <m:sty m:val="p"/>
          </m:rPr>
          <m:t>*</m:t>
        </m:r>
      </m:oMath>
      <w:r>
        <w:t xml:space="preserve">60–65** range heading into this print, a decline that one pre-earnings note characterized as GEHC shares having "lost 24.4% compared with the industry's 22.5% decline" year-to-date, underperforming the broader market. Sell-side price targets have been trimmed repeatedly since the April guidance cut (e.g., Mizuho lowered its price target from $90 to $80, and JPMorgan cut its target from $80 to</w:t>
      </w:r>
      <w:r>
        <w:t xml:space="preserve"> </w:t>
      </w:r>
      <w:r>
        <w:t xml:space="preserve">$65 with a "neutral" rating, both in late April), though the current average analyst target (~$</w:t>
      </w:r>
      <w:r>
        <w:t xml:space="preserve">80) still implies meaningful upside from current levels, and the stock is described as trading at roughly 14.5x forward earnings, a discount to medtech peers.</w:t>
      </w:r>
    </w:p>
    <w:bookmarkEnd w:id="14"/>
    <w:bookmarkStart w:id="15" w:name="X01022984a61a6997df63d7837c86da3aa1eb26a"/>
    <w:p>
      <w:pPr>
        <w:pStyle w:val="Heading2"/>
      </w:pPr>
      <w:r>
        <w:t xml:space="preserve">7. Key Risks Into and Beyond the Print</w:t>
      </w:r>
    </w:p>
    <w:p>
      <w:pPr>
        <w:pStyle w:val="Compact"/>
        <w:numPr>
          <w:ilvl w:val="0"/>
          <w:numId w:val="1005"/>
        </w:numPr>
      </w:pPr>
      <w:r>
        <w:rPr>
          <w:b/>
          <w:bCs/>
        </w:rPr>
        <w:t xml:space="preserve">Margin execution</w:t>
      </w:r>
      <w:r>
        <w:t xml:space="preserve"> </w:t>
      </w:r>
      <w:r>
        <w:t xml:space="preserve">— the inflation offsets ($0.23 of pricing/cost benefit, weighted to H2) need to show up; any sign of slippage would question the reaffirmed full-year guide.</w:t>
      </w:r>
    </w:p>
    <w:p>
      <w:pPr>
        <w:pStyle w:val="Compact"/>
        <w:numPr>
          <w:ilvl w:val="0"/>
          <w:numId w:val="1005"/>
        </w:numPr>
      </w:pPr>
      <w:r>
        <w:rPr>
          <w:b/>
          <w:bCs/>
        </w:rPr>
        <w:t xml:space="preserve">PCS turnaround</w:t>
      </w:r>
      <w:r>
        <w:t xml:space="preserve"> </w:t>
      </w:r>
      <w:r>
        <w:t xml:space="preserve">— the segment's anesthesia product launch and large monitoring deal timing were both pushed to H2 2026; delays would pressure both growth and margin mix.</w:t>
      </w:r>
    </w:p>
    <w:p>
      <w:pPr>
        <w:pStyle w:val="Compact"/>
        <w:numPr>
          <w:ilvl w:val="0"/>
          <w:numId w:val="1005"/>
        </w:numPr>
      </w:pPr>
      <w:r>
        <w:rPr>
          <w:b/>
          <w:bCs/>
        </w:rPr>
        <w:t xml:space="preserve">China</w:t>
      </w:r>
      <w:r>
        <w:t xml:space="preserve"> </w:t>
      </w:r>
      <w:r>
        <w:t xml:space="preserve">— still expected down year-over-year for 2026; any re-acceleration of weakness would be a negative surprise.</w:t>
      </w:r>
    </w:p>
    <w:p>
      <w:pPr>
        <w:pStyle w:val="Compact"/>
        <w:numPr>
          <w:ilvl w:val="0"/>
          <w:numId w:val="1005"/>
        </w:numPr>
      </w:pPr>
      <w:r>
        <w:rPr>
          <w:b/>
          <w:bCs/>
        </w:rPr>
        <w:t xml:space="preserve">CFO transition</w:t>
      </w:r>
      <w:r>
        <w:t xml:space="preserve"> </w:t>
      </w:r>
      <w:r>
        <w:t xml:space="preserve">— leadership continuity and the permanent search process are a watch item, even though an experienced internal controller (38+ years' finance experience) is stepping in on an interim basis.</w:t>
      </w:r>
    </w:p>
    <w:p>
      <w:pPr>
        <w:pStyle w:val="Compact"/>
        <w:numPr>
          <w:ilvl w:val="0"/>
          <w:numId w:val="1005"/>
        </w:numPr>
      </w:pPr>
      <w:r>
        <w:rPr>
          <w:b/>
          <w:bCs/>
        </w:rPr>
        <w:t xml:space="preserve">Tariff/trade policy volatility</w:t>
      </w:r>
      <w:r>
        <w:t xml:space="preserve"> </w:t>
      </w:r>
      <w:r>
        <w:t xml:space="preserve">— management has not assumed any windfall from recent tariff-related court rulings and continues to model current tariff levels persisting through year-end.</w:t>
      </w:r>
    </w:p>
    <w:bookmarkEnd w:id="15"/>
    <w:bookmarkStart w:id="16" w:name="X59a56c4de27670f2623d3582f339eb306b624b0"/>
    <w:p>
      <w:pPr>
        <w:pStyle w:val="Heading2"/>
      </w:pPr>
      <w:r>
        <w:t xml:space="preserve">8. Bottom Line</w:t>
      </w:r>
    </w:p>
    <w:p>
      <w:pPr>
        <w:pStyle w:val="FirstParagraph"/>
      </w:pPr>
      <w:r>
        <w:t xml:space="preserve">Because GEHC pre-announced the headline Q2 beat and reaffirmed full-year guidance, tomorrow's print is less about a topline surprise and more about</w:t>
      </w:r>
      <w:r>
        <w:t xml:space="preserve"> </w:t>
      </w:r>
      <w:r>
        <w:rPr>
          <w:b/>
          <w:bCs/>
        </w:rPr>
        <w:t xml:space="preserve">confirming the credibility of the H2 margin recovery story</w:t>
      </w:r>
      <w:r>
        <w:t xml:space="preserve"> </w:t>
      </w:r>
      <w:r>
        <w:t xml:space="preserve">the company laid out in April — inflation offsets ramping, PCS stabilizing, China green shoots continuing, and new products (Photonova Spectra, Flyrcado, Intelerad) converting into revenue on schedule — all while a new interim CFO takes the reins. Given the stock's steep 2026 drawdown and the gap to analyst price targets, the market's reaction will likely hinge on the segment-level margin and cash-flow detail, China commentary, and any incremental color on the CFO search, rather than the already-known revenue/EPS growth rates.</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2026-07-29T00:36:37Z</dcterms:created>
  <dcterms:modified xsi:type="dcterms:W3CDTF">2026-07-29T00:36:37Z</dcterms:modified>
</cp:coreProperties>
</file>

<file path=docProps/custom.xml><?xml version="1.0" encoding="utf-8"?>
<Properties xmlns="http://schemas.openxmlformats.org/officeDocument/2006/custom-properties" xmlns:vt="http://schemas.openxmlformats.org/officeDocument/2006/docPropsVTypes"/>
</file>