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ge-healthcare-gehc-2q26-earnings-preview"/>
    <w:p>
      <w:pPr>
        <w:pStyle w:val="Heading1"/>
      </w:pPr>
      <w:r>
        <w:t xml:space="preserve">GE HealthCare (GEHC) 2Q26 Earnings Preview</w:t>
      </w:r>
    </w:p>
    <w:p>
      <w:pPr>
        <w:pStyle w:val="BlockText"/>
      </w:pPr>
      <w:r>
        <w:rPr>
          <w:b/>
          <w:bCs/>
        </w:rPr>
        <w:t xml:space="preserve">Timing note:</w:t>
      </w:r>
      <w:r>
        <w:t xml:space="preserve"> </w:t>
      </w:r>
      <w:r>
        <w:t xml:space="preserve">GE HealthCare is scheduled to report</w:t>
      </w:r>
      <w:r>
        <w:t xml:space="preserve"> </w:t>
      </w:r>
      <w:r>
        <w:rPr>
          <w:b/>
          <w:bCs/>
        </w:rPr>
        <w:t xml:space="preserve">today, Wednesday, July 29, 2026</w:t>
      </w:r>
      <w:r>
        <w:t xml:space="preserve">, before the market opens, with its earnings call at</w:t>
      </w:r>
      <w:r>
        <w:t xml:space="preserve"> </w:t>
      </w:r>
      <w:r>
        <w:rPr>
          <w:b/>
          <w:bCs/>
        </w:rPr>
        <w:t xml:space="preserve">8:30 a.m. ET</w:t>
      </w:r>
      <w:r>
        <w:t xml:space="preserve">—not tomorrow. (</w:t>
      </w:r>
      <w:hyperlink r:id="rId9">
        <w:r>
          <w:rPr>
            <w:rStyle w:val="Hyperlink"/>
          </w:rPr>
          <w:t xml:space="preserve">investor.gehealthcare.com</w:t>
        </w:r>
      </w:hyperlink>
      <w:r>
        <w:t xml:space="preserve">)</w:t>
      </w:r>
    </w:p>
    <w:bookmarkStart w:id="11" w:name="executive-view"/>
    <w:p>
      <w:pPr>
        <w:pStyle w:val="Heading2"/>
      </w:pPr>
      <w:r>
        <w:t xml:space="preserve">Executive view</w:t>
      </w:r>
    </w:p>
    <w:p>
      <w:pPr>
        <w:pStyle w:val="FirstParagraph"/>
      </w:pPr>
      <w:r>
        <w:t xml:space="preserve">This is no longer a conventional earnings event: GE HealthCare already preannounced the quarter’s principal headline figures on July 23. The company expects:</w:t>
      </w:r>
    </w:p>
    <w:p>
      <w:pPr>
        <w:pStyle w:val="Compact"/>
        <w:numPr>
          <w:ilvl w:val="0"/>
          <w:numId w:val="1001"/>
        </w:numPr>
      </w:pPr>
      <w:r>
        <w:rPr>
          <w:b/>
          <w:bCs/>
        </w:rPr>
        <w:t xml:space="preserve">Revenue of approximately $5.30 billion</w:t>
      </w:r>
    </w:p>
    <w:p>
      <w:pPr>
        <w:pStyle w:val="Compact"/>
        <w:numPr>
          <w:ilvl w:val="0"/>
          <w:numId w:val="1001"/>
        </w:numPr>
      </w:pPr>
      <w:r>
        <w:rPr>
          <w:b/>
          <w:bCs/>
        </w:rPr>
        <w:t xml:space="preserve">Reported revenue growth of 5.7%</w:t>
      </w:r>
    </w:p>
    <w:p>
      <w:pPr>
        <w:pStyle w:val="Compact"/>
        <w:numPr>
          <w:ilvl w:val="0"/>
          <w:numId w:val="1001"/>
        </w:numPr>
      </w:pPr>
      <w:r>
        <w:rPr>
          <w:b/>
          <w:bCs/>
        </w:rPr>
        <w:t xml:space="preserve">Organic revenue growth of 3.5%</w:t>
      </w:r>
    </w:p>
    <w:p>
      <w:pPr>
        <w:pStyle w:val="Compact"/>
        <w:numPr>
          <w:ilvl w:val="0"/>
          <w:numId w:val="1001"/>
        </w:numPr>
      </w:pPr>
      <w:r>
        <w:rPr>
          <w:b/>
          <w:bCs/>
        </w:rPr>
        <w:t xml:space="preserve">Year-over-year growth in both diluted and adjusted EPS</w:t>
      </w:r>
    </w:p>
    <w:p>
      <w:pPr>
        <w:pStyle w:val="Compact"/>
        <w:numPr>
          <w:ilvl w:val="0"/>
          <w:numId w:val="1001"/>
        </w:numPr>
      </w:pPr>
      <w:r>
        <w:rPr>
          <w:b/>
          <w:bCs/>
        </w:rPr>
        <w:t xml:space="preserve">Reaffirmation of full-year 2026 guidance</w:t>
      </w:r>
    </w:p>
    <w:p>
      <w:pPr>
        <w:pStyle w:val="FirstParagraph"/>
      </w:pPr>
      <w:r>
        <w:t xml:space="preserve">The preliminary results are encouraging, particularly because management had previously expected second-quarter adjusted EPS to decline at a low-single-digit rate. Adjusted EPS exceeded</w:t>
      </w:r>
      <w:r>
        <w:t xml:space="preserve"> </w:t>
      </w:r>
      <w:r>
        <w:rPr>
          <w:b/>
          <w:bCs/>
        </w:rPr>
        <w:t xml:space="preserve">$1.06</w:t>
      </w:r>
      <w:r>
        <w:t xml:space="preserve">, the year-ago result, although GEHC has not disclosed the exact figure. (</w:t>
      </w:r>
      <w:hyperlink r:id="rId10">
        <w:r>
          <w:rPr>
            <w:rStyle w:val="Hyperlink"/>
          </w:rPr>
          <w:t xml:space="preserve">investor.gehealthcare.com</w:t>
        </w:r>
      </w:hyperlink>
      <w:r>
        <w:t xml:space="preserve">)</w:t>
      </w:r>
    </w:p>
    <w:p>
      <w:pPr>
        <w:pStyle w:val="BodyText"/>
      </w:pPr>
      <w:r>
        <w:t xml:space="preserve">Consequently, the market’s focus should shift from whether GEHC met the quarter to</w:t>
      </w:r>
      <w:r>
        <w:t xml:space="preserve"> </w:t>
      </w:r>
      <w:r>
        <w:rPr>
          <w:b/>
          <w:bCs/>
        </w:rPr>
        <w:t xml:space="preserve">how it produced the earnings upside and whether the second-half margin assumptions embedded in guidance remain credible</w:t>
      </w:r>
      <w:r>
        <w:t xml:space="preserve">.</w:t>
      </w:r>
    </w:p>
    <w:bookmarkEnd w:id="11"/>
    <w:bookmarkStart w:id="12" w:name="what-is-already-known"/>
    <w:p>
      <w:pPr>
        <w:pStyle w:val="Heading2"/>
      </w:pPr>
      <w:r>
        <w:t xml:space="preserve">What is already known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Preliminary 2Q26 result</w:t>
            </w:r>
          </w:p>
        </w:tc>
        <w:tc>
          <w:tcPr/>
          <w:p>
            <w:pPr>
              <w:pStyle w:val="Compact"/>
              <w:jc w:val="right"/>
            </w:pPr>
            <w:r>
              <w:t xml:space="preserve">2Q25 comparison</w:t>
            </w:r>
          </w:p>
        </w:tc>
        <w:tc>
          <w:tcPr/>
          <w:p>
            <w:pPr>
              <w:pStyle w:val="Compact"/>
            </w:pPr>
            <w:r>
              <w:t xml:space="preserve">Initial read</w:t>
            </w:r>
          </w:p>
        </w:tc>
      </w:tr>
      <w:tr>
        <w:tc>
          <w:tcPr/>
          <w:p>
            <w:pPr>
              <w:pStyle w:val="Compact"/>
            </w:pPr>
            <w:r>
              <w:t xml:space="preserve">Revenue</w:t>
            </w:r>
          </w:p>
        </w:tc>
        <w:tc>
          <w:tcPr/>
          <w:p>
            <w:pPr>
              <w:pStyle w:val="Compact"/>
              <w:jc w:val="right"/>
            </w:pPr>
            <w:r>
              <w:t xml:space="preserve">~$5.295B</w:t>
            </w:r>
          </w:p>
        </w:tc>
        <w:tc>
          <w:tcPr/>
          <w:p>
            <w:pPr>
              <w:pStyle w:val="Compact"/>
              <w:jc w:val="right"/>
            </w:pPr>
            <w:r>
              <w:t xml:space="preserve">$5.007B</w:t>
            </w:r>
          </w:p>
        </w:tc>
        <w:tc>
          <w:tcPr/>
          <w:p>
            <w:pPr>
              <w:pStyle w:val="Compact"/>
            </w:pPr>
            <w:r>
              <w:t xml:space="preserve">Solid reported growth</w:t>
            </w:r>
          </w:p>
        </w:tc>
      </w:tr>
      <w:tr>
        <w:tc>
          <w:tcPr/>
          <w:p>
            <w:pPr>
              <w:pStyle w:val="Compact"/>
            </w:pPr>
            <w:r>
              <w:t xml:space="preserve">Reported growth</w:t>
            </w:r>
          </w:p>
        </w:tc>
        <w:tc>
          <w:tcPr/>
          <w:p>
            <w:pPr>
              <w:pStyle w:val="Compact"/>
              <w:jc w:val="right"/>
            </w:pPr>
            <w:r>
              <w:t xml:space="preserve">5.7%</w:t>
            </w:r>
          </w:p>
        </w:tc>
        <w:tc>
          <w:tcPr/>
          <w:p>
            <w:pPr>
              <w:pStyle w:val="Compact"/>
              <w:jc w:val="right"/>
            </w:pPr>
            <w:r>
              <w:t xml:space="preserve">3% in 2Q25</w:t>
            </w:r>
          </w:p>
        </w:tc>
        <w:tc>
          <w:tcPr/>
          <w:p>
            <w:pPr>
              <w:pStyle w:val="Compact"/>
            </w:pPr>
            <w:r>
              <w:t xml:space="preserve">Includes FX and acquisitions</w:t>
            </w:r>
          </w:p>
        </w:tc>
      </w:tr>
      <w:tr>
        <w:tc>
          <w:tcPr/>
          <w:p>
            <w:pPr>
              <w:pStyle w:val="Compact"/>
            </w:pPr>
            <w:r>
              <w:t xml:space="preserve">Organic growth</w:t>
            </w:r>
          </w:p>
        </w:tc>
        <w:tc>
          <w:tcPr/>
          <w:p>
            <w:pPr>
              <w:pStyle w:val="Compact"/>
              <w:jc w:val="right"/>
            </w:pPr>
            <w:r>
              <w:t xml:space="preserve">3.5%</w:t>
            </w:r>
          </w:p>
        </w:tc>
        <w:tc>
          <w:tcPr/>
          <w:p>
            <w:pPr>
              <w:pStyle w:val="Compact"/>
              <w:jc w:val="right"/>
            </w:pPr>
            <w:r>
              <w:t xml:space="preserve">2% in 2Q25</w:t>
            </w:r>
          </w:p>
        </w:tc>
        <w:tc>
          <w:tcPr/>
          <w:p>
            <w:pPr>
              <w:pStyle w:val="Compact"/>
            </w:pPr>
            <w:r>
              <w:t xml:space="preserve">Within initial 3%–4% expectation</w:t>
            </w:r>
          </w:p>
        </w:tc>
      </w:tr>
      <w:tr>
        <w:tc>
          <w:tcPr/>
          <w:p>
            <w:pPr>
              <w:pStyle w:val="Compact"/>
            </w:pPr>
            <w:r>
              <w:t xml:space="preserve">Adjusted EPS</w:t>
            </w:r>
          </w:p>
        </w:tc>
        <w:tc>
          <w:tcPr/>
          <w:p>
            <w:pPr>
              <w:pStyle w:val="Compact"/>
              <w:jc w:val="right"/>
            </w:pPr>
            <w:r>
              <w:t xml:space="preserve">Above $1.06</w:t>
            </w:r>
          </w:p>
        </w:tc>
        <w:tc>
          <w:tcPr/>
          <w:p>
            <w:pPr>
              <w:pStyle w:val="Compact"/>
              <w:jc w:val="right"/>
            </w:pPr>
            <w:r>
              <w:t xml:space="preserve">$1.06</w:t>
            </w:r>
          </w:p>
        </w:tc>
        <w:tc>
          <w:tcPr/>
          <w:p>
            <w:pPr>
              <w:pStyle w:val="Compact"/>
            </w:pPr>
            <w:r>
              <w:t xml:space="preserve">Better than management’s prior expectation</w:t>
            </w:r>
          </w:p>
        </w:tc>
      </w:tr>
      <w:tr>
        <w:tc>
          <w:tcPr/>
          <w:p>
            <w:pPr>
              <w:pStyle w:val="Compact"/>
            </w:pPr>
            <w:r>
              <w:t xml:space="preserve">FY26 outlook</w:t>
            </w:r>
          </w:p>
        </w:tc>
        <w:tc>
          <w:tcPr/>
          <w:p>
            <w:pPr>
              <w:pStyle w:val="Compact"/>
              <w:jc w:val="right"/>
            </w:pPr>
            <w:r>
              <w:t xml:space="preserve">Reaffirmed</w:t>
            </w:r>
          </w:p>
        </w:tc>
        <w:tc>
          <w:tcPr/>
          <w:p>
            <w:pPr>
              <w:pStyle w:val="Compact"/>
              <w:jc w:val="right"/>
            </w:pPr>
            <w:r>
              <w:t xml:space="preserve">—</w:t>
            </w:r>
          </w:p>
        </w:tc>
        <w:tc>
          <w:tcPr/>
          <w:p>
            <w:pPr>
              <w:pStyle w:val="Compact"/>
            </w:pPr>
            <w:r>
              <w:t xml:space="preserve">Positive, but execution remains back-half weighted</w:t>
            </w:r>
          </w:p>
        </w:tc>
      </w:tr>
    </w:tbl>
    <w:p>
      <w:pPr>
        <w:pStyle w:val="BodyText"/>
      </w:pPr>
      <w:r>
        <w:t xml:space="preserve">The quarter’s 3.5% organic growth follows 2.9% in the first quarter, putting first-half organic growth at approximately</w:t>
      </w:r>
      <w:r>
        <w:t xml:space="preserve"> </w:t>
      </w:r>
      <w:r>
        <w:rPr>
          <w:b/>
          <w:bCs/>
        </w:rPr>
        <w:t xml:space="preserve">3.2%</w:t>
      </w:r>
      <w:r>
        <w:t xml:space="preserve">. That is consistent with the lower-to-middle portion of the full-year range, but reaching the upper half of guidance will require stronger growth in the second half. (</w:t>
      </w:r>
      <w:hyperlink r:id="rId10">
        <w:r>
          <w:rPr>
            <w:rStyle w:val="Hyperlink"/>
          </w:rPr>
          <w:t xml:space="preserve">investor.gehealthcare.com</w:t>
        </w:r>
      </w:hyperlink>
      <w:r>
        <w:t xml:space="preserve">)</w:t>
      </w:r>
    </w:p>
    <w:bookmarkEnd w:id="12"/>
    <w:bookmarkStart w:id="14" w:name="X104c3dd95ff07b0225a52e3972cc4cf64c338d1"/>
    <w:p>
      <w:pPr>
        <w:pStyle w:val="Heading2"/>
      </w:pPr>
      <w:r>
        <w:t xml:space="preserve">The central issue: margin quality and the second-half bridge</w:t>
      </w:r>
    </w:p>
    <w:p>
      <w:pPr>
        <w:pStyle w:val="FirstParagraph"/>
      </w:pPr>
      <w:r>
        <w:t xml:space="preserve">Revenue has been substantially de-risked. The most consequential number will therefore be</w:t>
      </w:r>
      <w:r>
        <w:t xml:space="preserve"> </w:t>
      </w:r>
      <w:r>
        <w:rPr>
          <w:b/>
          <w:bCs/>
        </w:rPr>
        <w:t xml:space="preserve">adjusted EBIT margin</w:t>
      </w:r>
      <w:r>
        <w:t xml:space="preserve">.</w:t>
      </w:r>
    </w:p>
    <w:p>
      <w:pPr>
        <w:pStyle w:val="BodyText"/>
      </w:pPr>
      <w:r>
        <w:t xml:space="preserve">First-quarter adjusted EBIT margin fell 150 basis points to 13.5%, reflecting tariffs, weakness in Patient Care Solutions and a Pharmaceutical Diagnostics supplier issue. GEHC nevertheless reaffirmed a full-year adjusted EBIT margin target of</w:t>
      </w:r>
      <w:r>
        <w:t xml:space="preserve"> </w:t>
      </w:r>
      <w:r>
        <w:rPr>
          <w:b/>
          <w:bCs/>
        </w:rPr>
        <w:t xml:space="preserve">15.4%–15.7%</w:t>
      </w:r>
      <w:r>
        <w:t xml:space="preserve">, representing 10–40 basis points of annual expansion. (</w:t>
      </w:r>
      <w:hyperlink r:id="rId13">
        <w:r>
          <w:rPr>
            <w:rStyle w:val="Hyperlink"/>
          </w:rPr>
          <w:t xml:space="preserve">investor.gehealthcare.com</w:t>
        </w:r>
      </w:hyperlink>
      <w:r>
        <w:t xml:space="preserve">)</w:t>
      </w:r>
    </w:p>
    <w:p>
      <w:pPr>
        <w:pStyle w:val="BodyText"/>
      </w:pPr>
      <w:r>
        <w:t xml:space="preserve">That target implies a pronounced second-half improvement. Investors should focus on:</w:t>
      </w:r>
    </w:p>
    <w:p>
      <w:pPr>
        <w:pStyle w:val="Compact"/>
        <w:numPr>
          <w:ilvl w:val="0"/>
          <w:numId w:val="1002"/>
        </w:numPr>
      </w:pPr>
      <w:r>
        <w:rPr>
          <w:b/>
          <w:bCs/>
        </w:rPr>
        <w:t xml:space="preserve">How much did the resolved PDx supplier problem help Q2?</w:t>
      </w:r>
    </w:p>
    <w:p>
      <w:pPr>
        <w:pStyle w:val="Compact"/>
        <w:numPr>
          <w:ilvl w:val="0"/>
          <w:numId w:val="1002"/>
        </w:numPr>
      </w:pPr>
      <w:r>
        <w:rPr>
          <w:b/>
          <w:bCs/>
        </w:rPr>
        <w:t xml:space="preserve">Were pricing and productivity the source of the EPS upside, or did tax and other below-the-line items contribute materially?</w:t>
      </w:r>
    </w:p>
    <w:p>
      <w:pPr>
        <w:pStyle w:val="Compact"/>
        <w:numPr>
          <w:ilvl w:val="0"/>
          <w:numId w:val="1002"/>
        </w:numPr>
      </w:pPr>
      <w:r>
        <w:rPr>
          <w:b/>
          <w:bCs/>
        </w:rPr>
        <w:t xml:space="preserve">Are memory-chip, oil and freight costs developing as assumed?</w:t>
      </w:r>
    </w:p>
    <w:p>
      <w:pPr>
        <w:pStyle w:val="Compact"/>
        <w:numPr>
          <w:ilvl w:val="0"/>
          <w:numId w:val="1002"/>
        </w:numPr>
      </w:pPr>
      <w:r>
        <w:rPr>
          <w:b/>
          <w:bCs/>
        </w:rPr>
        <w:t xml:space="preserve">Has GEHC begun realizing the $0.23-per-share mitigation benefit management previously expected primarily in Q3 and Q4?</w:t>
      </w:r>
    </w:p>
    <w:p>
      <w:pPr>
        <w:pStyle w:val="Compact"/>
        <w:numPr>
          <w:ilvl w:val="0"/>
          <w:numId w:val="1002"/>
        </w:numPr>
      </w:pPr>
      <w:r>
        <w:rPr>
          <w:b/>
          <w:bCs/>
        </w:rPr>
        <w:t xml:space="preserve">What margin exit rate does management anticipate entering 2027?</w:t>
      </w:r>
    </w:p>
    <w:p>
      <w:pPr>
        <w:pStyle w:val="FirstParagraph"/>
      </w:pPr>
      <w:r>
        <w:t xml:space="preserve">A revenue-and-EPS beat generated through sustainable pricing, better volume and supplier normalization would be substantially more valuable than one driven by favorable taxes, timing or non-operating items.</w:t>
      </w:r>
    </w:p>
    <w:bookmarkEnd w:id="14"/>
    <w:bookmarkStart w:id="15" w:name="X7a3278cdd88a4f3a75ebfabdc412cdf135dd05c"/>
    <w:p>
      <w:pPr>
        <w:pStyle w:val="Heading2"/>
      </w:pPr>
      <w:r>
        <w:t xml:space="preserve">Full-year guidance: reaffirmed, but still demanding</w:t>
      </w:r>
    </w:p>
    <w:p>
      <w:pPr>
        <w:pStyle w:val="FirstParagraph"/>
      </w:pPr>
      <w:r>
        <w:t xml:space="preserve">Current 2026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FY26 guidance</w:t>
            </w:r>
          </w:p>
        </w:tc>
      </w:tr>
      <w:tr>
        <w:tc>
          <w:tcPr/>
          <w:p>
            <w:pPr>
              <w:pStyle w:val="Compact"/>
            </w:pPr>
            <w:r>
              <w:t xml:space="preserve">Organic revenue growth</w:t>
            </w:r>
          </w:p>
        </w:tc>
        <w:tc>
          <w:tcPr/>
          <w:p>
            <w:pPr>
              <w:pStyle w:val="Compact"/>
              <w:jc w:val="right"/>
            </w:pPr>
            <w:r>
              <w:t xml:space="preserve">3.0%–4.0%</w:t>
            </w:r>
          </w:p>
        </w:tc>
      </w:tr>
      <w:tr>
        <w:tc>
          <w:tcPr/>
          <w:p>
            <w:pPr>
              <w:pStyle w:val="Compact"/>
            </w:pPr>
            <w:r>
              <w:t xml:space="preserve">Adjusted EBIT margin</w:t>
            </w:r>
          </w:p>
        </w:tc>
        <w:tc>
          <w:tcPr/>
          <w:p>
            <w:pPr>
              <w:pStyle w:val="Compact"/>
              <w:jc w:val="right"/>
            </w:pPr>
            <w:r>
              <w:t xml:space="preserve">15.4%–15.7%</w:t>
            </w:r>
          </w:p>
        </w:tc>
      </w:tr>
      <w:tr>
        <w:tc>
          <w:tcPr/>
          <w:p>
            <w:pPr>
              <w:pStyle w:val="Compact"/>
            </w:pPr>
            <w:r>
              <w:t xml:space="preserve">Adjusted EPS</w:t>
            </w:r>
          </w:p>
        </w:tc>
        <w:tc>
          <w:tcPr/>
          <w:p>
            <w:pPr>
              <w:pStyle w:val="Compact"/>
              <w:jc w:val="right"/>
            </w:pPr>
            <m:oMath>
              <m:r>
                <m:t>4.80</m:t>
              </m:r>
              <m:r>
                <m:rPr>
                  <m:sty m:val="p"/>
                </m:rPr>
                <m:t>–</m:t>
              </m:r>
            </m:oMath>
            <w:r>
              <w:t xml:space="preserve">5.00</w:t>
            </w:r>
          </w:p>
        </w:tc>
      </w:tr>
      <w:tr>
        <w:tc>
          <w:tcPr/>
          <w:p>
            <w:pPr>
              <w:pStyle w:val="Compact"/>
            </w:pPr>
            <w:r>
              <w:t xml:space="preserve">Adjusted tax rate</w:t>
            </w:r>
          </w:p>
        </w:tc>
        <w:tc>
          <w:tcPr/>
          <w:p>
            <w:pPr>
              <w:pStyle w:val="Compact"/>
              <w:jc w:val="right"/>
            </w:pPr>
            <w:r>
              <w:t xml:space="preserve">20%–21%</w:t>
            </w:r>
          </w:p>
        </w:tc>
      </w:tr>
      <w:tr>
        <w:tc>
          <w:tcPr/>
          <w:p>
            <w:pPr>
              <w:pStyle w:val="Compact"/>
            </w:pPr>
            <w:r>
              <w:t xml:space="preserve">Free cash flow</w:t>
            </w:r>
          </w:p>
        </w:tc>
        <w:tc>
          <w:tcPr/>
          <w:p>
            <w:pPr>
              <w:pStyle w:val="Compact"/>
              <w:jc w:val="right"/>
            </w:pPr>
            <w:r>
              <w:t xml:space="preserve">Approximately $1.6B</w:t>
            </w:r>
          </w:p>
        </w:tc>
      </w:tr>
    </w:tbl>
    <w:p>
      <w:pPr>
        <w:pStyle w:val="BodyText"/>
      </w:pPr>
      <w:r>
        <w:t xml:space="preserve">GEHC reduced its profit outlook in April because of approximately $250 million of expected incremental inflation, principally memory chips, oil and freight. Management expected to offset more than half of that pressure through pricing and cost measures, with a greater benefit in the second half and into 2027. (</w:t>
      </w:r>
      <w:hyperlink r:id="rId13">
        <w:r>
          <w:rPr>
            <w:rStyle w:val="Hyperlink"/>
          </w:rPr>
          <w:t xml:space="preserve">investor.gehealthcare.com</w:t>
        </w:r>
      </w:hyperlink>
      <w:r>
        <w:t xml:space="preserve">)</w:t>
      </w:r>
    </w:p>
    <w:p>
      <w:pPr>
        <w:pStyle w:val="BodyText"/>
      </w:pPr>
      <w:r>
        <w:t xml:space="preserve">The July 23 reaffirmation is reassuring, but the call needs to establish whether management now sees:</w:t>
      </w:r>
    </w:p>
    <w:p>
      <w:pPr>
        <w:pStyle w:val="Compact"/>
        <w:numPr>
          <w:ilvl w:val="0"/>
          <w:numId w:val="1003"/>
        </w:numPr>
      </w:pPr>
      <w:r>
        <w:t xml:space="preserve">Equal probability across the EPS range;</w:t>
      </w:r>
    </w:p>
    <w:p>
      <w:pPr>
        <w:pStyle w:val="Compact"/>
        <w:numPr>
          <w:ilvl w:val="0"/>
          <w:numId w:val="1003"/>
        </w:numPr>
      </w:pPr>
      <w:r>
        <w:t xml:space="preserve">A bias toward the lower or upper half;</w:t>
      </w:r>
    </w:p>
    <w:p>
      <w:pPr>
        <w:pStyle w:val="Compact"/>
        <w:numPr>
          <w:ilvl w:val="0"/>
          <w:numId w:val="1003"/>
        </w:numPr>
      </w:pPr>
      <w:r>
        <w:t xml:space="preserve">Greater confidence in pricing and productivity;</w:t>
      </w:r>
    </w:p>
    <w:p>
      <w:pPr>
        <w:pStyle w:val="Compact"/>
        <w:numPr>
          <w:ilvl w:val="0"/>
          <w:numId w:val="1003"/>
        </w:numPr>
      </w:pPr>
      <w:r>
        <w:t xml:space="preserve">Additional inflation or supply-chain risk; or</w:t>
      </w:r>
    </w:p>
    <w:p>
      <w:pPr>
        <w:pStyle w:val="Compact"/>
        <w:numPr>
          <w:ilvl w:val="0"/>
          <w:numId w:val="1003"/>
        </w:numPr>
      </w:pPr>
      <w:r>
        <w:t xml:space="preserve">Any upside from tariff refunds, which are not included in guidance.</w:t>
      </w:r>
    </w:p>
    <w:p>
      <w:pPr>
        <w:pStyle w:val="FirstParagraph"/>
      </w:pPr>
      <w:r>
        <w:t xml:space="preserve">Following Q1 adjusted EPS of $0.99 and Q2 adjusted EPS above $1.06, GEHC has earned more than $2.05 through the first half. Reaching the</w:t>
      </w:r>
      <w:r>
        <w:t xml:space="preserve"> </w:t>
      </w:r>
      <m:oMath>
        <m:r>
          <m:t>4.90</m:t>
        </m:r>
        <m:r>
          <m:t>m</m:t>
        </m:r>
        <m:r>
          <m:t>i</m:t>
        </m:r>
        <m:r>
          <m:t>d</m:t>
        </m:r>
        <m:r>
          <m:t>p</m:t>
        </m:r>
        <m:r>
          <m:t>o</m:t>
        </m:r>
        <m:r>
          <m:t>i</m:t>
        </m:r>
        <m:r>
          <m:t>n</m:t>
        </m:r>
        <m:r>
          <m:t>t</m:t>
        </m:r>
        <m:r>
          <m:t>s</m:t>
        </m:r>
        <m:r>
          <m:t>t</m:t>
        </m:r>
        <m:r>
          <m:t>i</m:t>
        </m:r>
        <m:r>
          <m:t>l</m:t>
        </m:r>
        <m:r>
          <m:t>l</m:t>
        </m:r>
        <m:r>
          <m:t>r</m:t>
        </m:r>
        <m:r>
          <m:t>e</m:t>
        </m:r>
        <m:r>
          <m:t>q</m:t>
        </m:r>
        <m:r>
          <m:t>u</m:t>
        </m:r>
        <m:r>
          <m:t>i</m:t>
        </m:r>
        <m:r>
          <m:t>r</m:t>
        </m:r>
        <m:r>
          <m:t>e</m:t>
        </m:r>
        <m:r>
          <m:t>s</m:t>
        </m:r>
        <m:r>
          <m:t>r</m:t>
        </m:r>
        <m:r>
          <m:t>o</m:t>
        </m:r>
        <m:r>
          <m:t>u</m:t>
        </m:r>
        <m:r>
          <m:t>g</m:t>
        </m:r>
        <m:r>
          <m:t>h</m:t>
        </m:r>
        <m:r>
          <m:t>l</m:t>
        </m:r>
        <m:r>
          <m:t>y</m:t>
        </m:r>
        <m:r>
          <m:rPr>
            <m:sty m:val="p"/>
          </m:rPr>
          <m:t>*</m:t>
        </m:r>
        <m:r>
          <m:rPr>
            <m:sty m:val="p"/>
          </m:rPr>
          <m:t>*</m:t>
        </m:r>
      </m:oMath>
      <w:r>
        <w:t xml:space="preserve">2.85 or less—but close to that level—during the second half**, underscoring the importance of the expected margin step-up.</w:t>
      </w:r>
    </w:p>
    <w:bookmarkEnd w:id="15"/>
    <w:bookmarkStart w:id="19" w:name="segment-watch-list"/>
    <w:p>
      <w:pPr>
        <w:pStyle w:val="Heading2"/>
      </w:pPr>
      <w:r>
        <w:t xml:space="preserve">Segment watch list</w:t>
      </w:r>
    </w:p>
    <w:bookmarkStart w:id="16" w:name="X5320a5b65da4e7dc65f39bd0da2c9a7ba8daf33"/>
    <w:p>
      <w:pPr>
        <w:pStyle w:val="Heading3"/>
      </w:pPr>
      <w:r>
        <w:t xml:space="preserve">1. Advanced Imaging Solutions: orders matter more than current revenue</w:t>
      </w:r>
    </w:p>
    <w:p>
      <w:pPr>
        <w:pStyle w:val="FirstParagraph"/>
      </w:pPr>
      <w:r>
        <w:t xml:space="preserve">GEHC is combining Imaging and Advanced Visualization Solutions into</w:t>
      </w:r>
      <w:r>
        <w:t xml:space="preserve"> </w:t>
      </w:r>
      <w:r>
        <w:rPr>
          <w:b/>
          <w:bCs/>
        </w:rPr>
        <w:t xml:space="preserve">Advanced Imaging Solutions</w:t>
      </w:r>
      <w:r>
        <w:t xml:space="preserve">, so this quarter will introduce a new three-segment reporting structure.</w:t>
      </w:r>
    </w:p>
    <w:p>
      <w:pPr>
        <w:pStyle w:val="BodyText"/>
      </w:pPr>
      <w:r>
        <w:t xml:space="preserve">In Q1, legacy Imaging organic revenue grew 3.8% while AVS grew 4.4%. The combined business benefits from healthy capital-equipment demand, service revenue and new-product adoption, but Q2 orders and book-to-bill will be more informative than reported revenue.</w:t>
      </w:r>
    </w:p>
    <w:p>
      <w:pPr>
        <w:pStyle w:val="BodyText"/>
      </w:pPr>
      <w:r>
        <w:t xml:space="preserve">Key questions:</w:t>
      </w:r>
    </w:p>
    <w:p>
      <w:pPr>
        <w:pStyle w:val="Compact"/>
        <w:numPr>
          <w:ilvl w:val="0"/>
          <w:numId w:val="1004"/>
        </w:numPr>
      </w:pPr>
      <w:r>
        <w:t xml:space="preserve">Did total organic order growth accelerate from Q1’s 1.1%?</w:t>
      </w:r>
    </w:p>
    <w:p>
      <w:pPr>
        <w:pStyle w:val="Compact"/>
        <w:numPr>
          <w:ilvl w:val="0"/>
          <w:numId w:val="1004"/>
        </w:numPr>
      </w:pPr>
      <w:r>
        <w:t xml:space="preserve">Did book-to-bill remain above 1.0?</w:t>
      </w:r>
    </w:p>
    <w:p>
      <w:pPr>
        <w:pStyle w:val="Compact"/>
        <w:numPr>
          <w:ilvl w:val="0"/>
          <w:numId w:val="1004"/>
        </w:numPr>
      </w:pPr>
      <w:r>
        <w:t xml:space="preserve">Is the $21.8 billion Q1 backlog still growing?</w:t>
      </w:r>
    </w:p>
    <w:p>
      <w:pPr>
        <w:pStyle w:val="Compact"/>
        <w:numPr>
          <w:ilvl w:val="0"/>
          <w:numId w:val="1004"/>
        </w:numPr>
      </w:pPr>
      <w:r>
        <w:t xml:space="preserve">Is demand stable across the United States, EMEA and other international markets?</w:t>
      </w:r>
    </w:p>
    <w:p>
      <w:pPr>
        <w:pStyle w:val="Compact"/>
        <w:numPr>
          <w:ilvl w:val="0"/>
          <w:numId w:val="1004"/>
        </w:numPr>
      </w:pPr>
      <w:r>
        <w:t xml:space="preserve">Has China continued its sequential stabilization?</w:t>
      </w:r>
    </w:p>
    <w:p>
      <w:pPr>
        <w:pStyle w:val="FirstParagraph"/>
      </w:pPr>
      <w:r>
        <w:t xml:space="preserve">Photonova Spectra photon-counting CT is unlikely to contribute meaningful revenue until 2027, but orders, customer-site preparation and the size of the commercial funnel could influence confidence in next year’s growth acceleration. (</w:t>
      </w:r>
      <w:hyperlink r:id="rId13">
        <w:r>
          <w:rPr>
            <w:rStyle w:val="Hyperlink"/>
          </w:rPr>
          <w:t xml:space="preserve">investor.gehealthcare.com</w:t>
        </w:r>
      </w:hyperlink>
      <w:r>
        <w:t xml:space="preserve">)</w:t>
      </w:r>
    </w:p>
    <w:bookmarkEnd w:id="16"/>
    <w:bookmarkStart w:id="17" w:name="X408d336e8da2b12b0631972fa9ad34fa169b207"/>
    <w:p>
      <w:pPr>
        <w:pStyle w:val="Heading3"/>
      </w:pPr>
      <w:r>
        <w:t xml:space="preserve">2. Patient Care Solutions: evidence of stabilization is needed</w:t>
      </w:r>
    </w:p>
    <w:p>
      <w:pPr>
        <w:pStyle w:val="FirstParagraph"/>
      </w:pPr>
      <w:r>
        <w:t xml:space="preserve">PCS was Q1’s clearest operating weakness:</w:t>
      </w:r>
    </w:p>
    <w:p>
      <w:pPr>
        <w:pStyle w:val="Compact"/>
        <w:numPr>
          <w:ilvl w:val="0"/>
          <w:numId w:val="1005"/>
        </w:numPr>
      </w:pPr>
      <w:r>
        <w:t xml:space="preserve">Organic revenue declined</w:t>
      </w:r>
      <w:r>
        <w:t xml:space="preserve"> </w:t>
      </w:r>
      <w:r>
        <w:rPr>
          <w:b/>
          <w:bCs/>
        </w:rPr>
        <w:t xml:space="preserve">8.1%</w:t>
      </w:r>
    </w:p>
    <w:p>
      <w:pPr>
        <w:pStyle w:val="Compact"/>
        <w:numPr>
          <w:ilvl w:val="0"/>
          <w:numId w:val="1005"/>
        </w:numPr>
      </w:pPr>
      <w:r>
        <w:t xml:space="preserve">Segment margin fell to</w:t>
      </w:r>
      <w:r>
        <w:t xml:space="preserve"> </w:t>
      </w:r>
      <w:r>
        <w:rPr>
          <w:b/>
          <w:bCs/>
        </w:rPr>
        <w:t xml:space="preserve">1.4%</w:t>
      </w:r>
    </w:p>
    <w:p>
      <w:pPr>
        <w:pStyle w:val="Compact"/>
        <w:numPr>
          <w:ilvl w:val="0"/>
          <w:numId w:val="1005"/>
        </w:numPr>
      </w:pPr>
      <w:r>
        <w:t xml:space="preserve">Management attributed part of the decline to large monitoring installations shifting into the second half</w:t>
      </w:r>
    </w:p>
    <w:p>
      <w:pPr>
        <w:pStyle w:val="FirstParagraph"/>
      </w:pPr>
      <w:r>
        <w:t xml:space="preserve">The bull case assumes those installations convert as scheduled, backlog execution improves and the planned premium anesthesia launch supports orders later in the year. Investors should look for at least sequential stabilization and confirmation that the delayed projects remain on track.</w:t>
      </w:r>
    </w:p>
    <w:p>
      <w:pPr>
        <w:pStyle w:val="BodyText"/>
      </w:pPr>
      <w:r>
        <w:t xml:space="preserve">Another weak order or margin result would make the full-year consolidated margin target more difficult to achieve.</w:t>
      </w:r>
    </w:p>
    <w:bookmarkEnd w:id="17"/>
    <w:bookmarkStart w:id="18" w:name="X26ca1e8289d012a140777652e9fa6d5bee0a185"/>
    <w:p>
      <w:pPr>
        <w:pStyle w:val="Heading3"/>
      </w:pPr>
      <w:r>
        <w:t xml:space="preserve">3. Pharmaceutical Diagnostics: supplier recovery and Flyrcado</w:t>
      </w:r>
    </w:p>
    <w:p>
      <w:pPr>
        <w:pStyle w:val="FirstParagraph"/>
      </w:pPr>
      <w:r>
        <w:t xml:space="preserve">PDx delivered 9.7% organic growth in Q1 but suffered a 680-basis-point segment margin contraction, partly because of the supplier issue that management said had been resolved. (</w:t>
      </w:r>
      <w:hyperlink r:id="rId13">
        <w:r>
          <w:rPr>
            <w:rStyle w:val="Hyperlink"/>
          </w:rPr>
          <w:t xml:space="preserve">investor.gehealthcare.com</w:t>
        </w:r>
      </w:hyperlink>
      <w:r>
        <w:t xml:space="preserve">)</w:t>
      </w:r>
    </w:p>
    <w:p>
      <w:pPr>
        <w:pStyle w:val="BodyText"/>
      </w:pPr>
      <w:r>
        <w:t xml:space="preserve">Q2 should therefore answer two questions:</w:t>
      </w:r>
    </w:p>
    <w:p>
      <w:pPr>
        <w:pStyle w:val="Compact"/>
        <w:numPr>
          <w:ilvl w:val="0"/>
          <w:numId w:val="1006"/>
        </w:numPr>
      </w:pPr>
      <w:r>
        <w:rPr>
          <w:b/>
          <w:bCs/>
        </w:rPr>
        <w:t xml:space="preserve">Did PDx profitability normalize after the supplier disruption?</w:t>
      </w:r>
    </w:p>
    <w:p>
      <w:pPr>
        <w:pStyle w:val="Compact"/>
        <w:numPr>
          <w:ilvl w:val="0"/>
          <w:numId w:val="1006"/>
        </w:numPr>
      </w:pPr>
      <w:r>
        <w:rPr>
          <w:b/>
          <w:bCs/>
        </w:rPr>
        <w:t xml:space="preserve">Is Flyrcado continuing to scale operationally and commercially?</w:t>
      </w:r>
    </w:p>
    <w:p>
      <w:pPr>
        <w:pStyle w:val="FirstParagraph"/>
      </w:pPr>
      <w:r>
        <w:t xml:space="preserve">Flyrcado was running at roughly a $46 million annualized revenue rate in April, and GEHC continues to target at least $500 million of annual revenue by 2028. Updates on weekly doses, customer additions, production reliability and reimbursement will be important leading indicators.</w:t>
      </w:r>
    </w:p>
    <w:bookmarkEnd w:id="18"/>
    <w:bookmarkEnd w:id="19"/>
    <w:bookmarkStart w:id="20" w:name="Xd5d0f57f3550777bead0d485844fdf76eb415ed"/>
    <w:p>
      <w:pPr>
        <w:pStyle w:val="Heading2"/>
      </w:pPr>
      <w:r>
        <w:t xml:space="preserve">Orders and backlog may determine the reaction</w:t>
      </w:r>
    </w:p>
    <w:p>
      <w:pPr>
        <w:pStyle w:val="FirstParagraph"/>
      </w:pPr>
      <w:r>
        <w:t xml:space="preserve">GEHC’s preliminary release cited “strong orders” and healthy end-market demand, but provided no numbers. (</w:t>
      </w:r>
      <w:hyperlink r:id="rId10">
        <w:r>
          <w:rPr>
            <w:rStyle w:val="Hyperlink"/>
          </w:rPr>
          <w:t xml:space="preserve">investor.gehealthcare.com</w:t>
        </w:r>
      </w:hyperlink>
      <w:r>
        <w:t xml:space="preserve">)</w:t>
      </w:r>
    </w:p>
    <w:p>
      <w:pPr>
        <w:pStyle w:val="BodyText"/>
      </w:pPr>
      <w:r>
        <w:t xml:space="preserve">Given that revenue and EPS have already been directionally disclosed, order data could be the biggest source of incremental information:</w:t>
      </w:r>
    </w:p>
    <w:p>
      <w:pPr>
        <w:pStyle w:val="Compact"/>
        <w:numPr>
          <w:ilvl w:val="0"/>
          <w:numId w:val="1007"/>
        </w:numPr>
      </w:pPr>
      <w:r>
        <w:rPr>
          <w:b/>
          <w:bCs/>
        </w:rPr>
        <w:t xml:space="preserve">Bullish:</w:t>
      </w:r>
      <w:r>
        <w:t xml:space="preserve"> </w:t>
      </w:r>
      <w:r>
        <w:t xml:space="preserve">organic orders grow faster than revenue, book-to-bill remains around or above 1.05 and backlog expands.</w:t>
      </w:r>
    </w:p>
    <w:p>
      <w:pPr>
        <w:pStyle w:val="Compact"/>
        <w:numPr>
          <w:ilvl w:val="0"/>
          <w:numId w:val="1007"/>
        </w:numPr>
      </w:pPr>
      <w:r>
        <w:rPr>
          <w:b/>
          <w:bCs/>
        </w:rPr>
        <w:t xml:space="preserve">Acceptable:</w:t>
      </w:r>
      <w:r>
        <w:t xml:space="preserve"> </w:t>
      </w:r>
      <w:r>
        <w:t xml:space="preserve">orders grow modestly and book-to-bill remains above 1.0.</w:t>
      </w:r>
    </w:p>
    <w:p>
      <w:pPr>
        <w:pStyle w:val="Compact"/>
        <w:numPr>
          <w:ilvl w:val="0"/>
          <w:numId w:val="1007"/>
        </w:numPr>
      </w:pPr>
      <w:r>
        <w:rPr>
          <w:b/>
          <w:bCs/>
        </w:rPr>
        <w:t xml:space="preserve">Concerning:</w:t>
      </w:r>
      <w:r>
        <w:t xml:space="preserve"> </w:t>
      </w:r>
      <w:r>
        <w:t xml:space="preserve">orders decline or book-to-bill falls below 1.0, suggesting that current revenue is relying on backlog rather than strengthening demand.</w:t>
      </w:r>
    </w:p>
    <w:p>
      <w:pPr>
        <w:pStyle w:val="FirstParagraph"/>
      </w:pPr>
      <w:r>
        <w:t xml:space="preserve">Particular attention should go to capital equipment demand in China and the timing of large PCS projects.</w:t>
      </w:r>
    </w:p>
    <w:bookmarkEnd w:id="20"/>
    <w:bookmarkStart w:id="21" w:name="cfo-transition-adds-an-unusual-overlay"/>
    <w:p>
      <w:pPr>
        <w:pStyle w:val="Heading2"/>
      </w:pPr>
      <w:r>
        <w:t xml:space="preserve">CFO transition adds an unusual overlay</w:t>
      </w:r>
    </w:p>
    <w:p>
      <w:pPr>
        <w:pStyle w:val="FirstParagraph"/>
      </w:pPr>
      <w:r>
        <w:t xml:space="preserve">CFO Jay Saccaro is leaving for a role outside the medical-technology industry and will remain through August 14. Controller and Chief Accounting Officer George Newcomb has been appointed interim CFO while GEHC searches for a permanent successor. (</w:t>
      </w:r>
      <w:hyperlink r:id="rId10">
        <w:r>
          <w:rPr>
            <w:rStyle w:val="Hyperlink"/>
          </w:rPr>
          <w:t xml:space="preserve">investor.gehealthcare.com</w:t>
        </w:r>
      </w:hyperlink>
      <w:r>
        <w:t xml:space="preserve">)</w:t>
      </w:r>
    </w:p>
    <w:p>
      <w:pPr>
        <w:pStyle w:val="BodyText"/>
      </w:pPr>
      <w:r>
        <w:t xml:space="preserve">The simultaneous preliminary-results announcement helps reduce concern that the departure was caused by an imminent financial shortfall. Nonetheless, investors should expect questions about:</w:t>
      </w:r>
    </w:p>
    <w:p>
      <w:pPr>
        <w:pStyle w:val="Compact"/>
        <w:numPr>
          <w:ilvl w:val="0"/>
          <w:numId w:val="1008"/>
        </w:numPr>
      </w:pPr>
      <w:r>
        <w:t xml:space="preserve">The timing and circumstances of the departure;</w:t>
      </w:r>
    </w:p>
    <w:p>
      <w:pPr>
        <w:pStyle w:val="Compact"/>
        <w:numPr>
          <w:ilvl w:val="0"/>
          <w:numId w:val="1008"/>
        </w:numPr>
      </w:pPr>
      <w:r>
        <w:t xml:space="preserve">Whether Saccaro will participate fully in the call;</w:t>
      </w:r>
    </w:p>
    <w:p>
      <w:pPr>
        <w:pStyle w:val="Compact"/>
        <w:numPr>
          <w:ilvl w:val="0"/>
          <w:numId w:val="1008"/>
        </w:numPr>
      </w:pPr>
      <w:r>
        <w:t xml:space="preserve">The permanent-CFO search process;</w:t>
      </w:r>
    </w:p>
    <w:p>
      <w:pPr>
        <w:pStyle w:val="Compact"/>
        <w:numPr>
          <w:ilvl w:val="0"/>
          <w:numId w:val="1008"/>
        </w:numPr>
      </w:pPr>
      <w:r>
        <w:t xml:space="preserve">Continuity of guidance, capital allocation and margin initiatives;</w:t>
      </w:r>
    </w:p>
    <w:p>
      <w:pPr>
        <w:pStyle w:val="Compact"/>
        <w:numPr>
          <w:ilvl w:val="0"/>
          <w:numId w:val="1008"/>
        </w:numPr>
      </w:pPr>
      <w:r>
        <w:t xml:space="preserve">Whether the transition changes the timing of future strategic activity.</w:t>
      </w:r>
    </w:p>
    <w:p>
      <w:pPr>
        <w:pStyle w:val="FirstParagraph"/>
      </w:pPr>
      <w:r>
        <w:t xml:space="preserve">A smooth, detailed handover message would limit the issue. Vague responses could overshadow otherwise solid results.</w:t>
      </w:r>
    </w:p>
    <w:bookmarkEnd w:id="21"/>
    <w:bookmarkStart w:id="22" w:name="potential-stock-reaction-framework"/>
    <w:p>
      <w:pPr>
        <w:pStyle w:val="Heading2"/>
      </w:pPr>
      <w:r>
        <w:t xml:space="preserve">Potential stock-reaction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Outcome</w:t>
            </w:r>
          </w:p>
        </w:tc>
        <w:tc>
          <w:tcPr/>
          <w:p>
            <w:pPr>
              <w:pStyle w:val="Compact"/>
            </w:pPr>
            <w:r>
              <w:t xml:space="preserve">What it would likely include</w:t>
            </w:r>
          </w:p>
        </w:tc>
      </w:tr>
      <w:tr>
        <w:tc>
          <w:tcPr/>
          <w:p>
            <w:pPr>
              <w:pStyle w:val="Compact"/>
            </w:pPr>
            <w:r>
              <w:rPr>
                <w:b/>
                <w:bCs/>
              </w:rPr>
              <w:t xml:space="preserve">Positive</w:t>
            </w:r>
          </w:p>
        </w:tc>
        <w:tc>
          <w:tcPr/>
          <w:p>
            <w:pPr>
              <w:pStyle w:val="Compact"/>
            </w:pPr>
            <w:r>
              <w:t xml:space="preserve">Adjusted EPS meaningfully above $1.06; strong operating margin; healthy orders and book-to-bill; PDx margin recovery; PCS stabilization; increased confidence in the upper half of FY guidance</w:t>
            </w:r>
          </w:p>
        </w:tc>
      </w:tr>
      <w:tr>
        <w:tc>
          <w:tcPr/>
          <w:p>
            <w:pPr>
              <w:pStyle w:val="Compact"/>
            </w:pPr>
            <w:r>
              <w:rPr>
                <w:b/>
                <w:bCs/>
              </w:rPr>
              <w:t xml:space="preserve">Neutral</w:t>
            </w:r>
          </w:p>
        </w:tc>
        <w:tc>
          <w:tcPr/>
          <w:p>
            <w:pPr>
              <w:pStyle w:val="Compact"/>
            </w:pPr>
            <w:r>
              <w:t xml:space="preserve">Results close to the preliminary figures; modest EPS growth; guidance reiterated without greater confidence; continued dependence on Q3–Q4 pricing and productivity</w:t>
            </w:r>
          </w:p>
        </w:tc>
      </w:tr>
      <w:tr>
        <w:tc>
          <w:tcPr/>
          <w:p>
            <w:pPr>
              <w:pStyle w:val="Compact"/>
            </w:pPr>
            <w:r>
              <w:rPr>
                <w:b/>
                <w:bCs/>
              </w:rPr>
              <w:t xml:space="preserve">Negative</w:t>
            </w:r>
          </w:p>
        </w:tc>
        <w:tc>
          <w:tcPr/>
          <w:p>
            <w:pPr>
              <w:pStyle w:val="Compact"/>
            </w:pPr>
            <w:r>
              <w:t xml:space="preserve">EPS upside driven by tax or adjustments; weak orders; limited PCS improvement; persistent PDx margin pressure; renewed China weakness; management signaling the low end of FY guidance</w:t>
            </w:r>
          </w:p>
        </w:tc>
      </w:tr>
    </w:tbl>
    <w:bookmarkEnd w:id="22"/>
    <w:bookmarkStart w:id="23" w:name="bottom-line"/>
    <w:p>
      <w:pPr>
        <w:pStyle w:val="Heading2"/>
      </w:pPr>
      <w:r>
        <w:t xml:space="preserve">Bottom line</w:t>
      </w:r>
    </w:p>
    <w:p>
      <w:pPr>
        <w:pStyle w:val="FirstParagraph"/>
      </w:pPr>
      <w:r>
        <w:t xml:space="preserve">The preliminary release makes a headline miss unlikely.</w:t>
      </w:r>
      <w:r>
        <w:t xml:space="preserve"> </w:t>
      </w:r>
      <w:r>
        <w:rPr>
          <w:b/>
          <w:bCs/>
        </w:rPr>
        <w:t xml:space="preserve">The real earnings test is whether GEHC can demonstrate that the Q2 EPS upside came from improving operations and that its second-half margin ramp is achievable.</w:t>
      </w:r>
    </w:p>
    <w:p>
      <w:pPr>
        <w:pStyle w:val="BodyText"/>
      </w:pPr>
      <w:r>
        <w:t xml:space="preserve">The most important items, in order, are:</w:t>
      </w:r>
    </w:p>
    <w:p>
      <w:pPr>
        <w:pStyle w:val="Compact"/>
        <w:numPr>
          <w:ilvl w:val="0"/>
          <w:numId w:val="1009"/>
        </w:numPr>
      </w:pPr>
      <w:r>
        <w:rPr>
          <w:b/>
          <w:bCs/>
        </w:rPr>
        <w:t xml:space="preserve">Adjusted EBIT margin and the quality of the EPS beat</w:t>
      </w:r>
    </w:p>
    <w:p>
      <w:pPr>
        <w:pStyle w:val="Compact"/>
        <w:numPr>
          <w:ilvl w:val="0"/>
          <w:numId w:val="1009"/>
        </w:numPr>
      </w:pPr>
      <w:r>
        <w:rPr>
          <w:b/>
          <w:bCs/>
        </w:rPr>
        <w:t xml:space="preserve">Organic orders, book-to-bill and backlog</w:t>
      </w:r>
    </w:p>
    <w:p>
      <w:pPr>
        <w:pStyle w:val="Compact"/>
        <w:numPr>
          <w:ilvl w:val="0"/>
          <w:numId w:val="1009"/>
        </w:numPr>
      </w:pPr>
      <w:r>
        <w:rPr>
          <w:b/>
          <w:bCs/>
        </w:rPr>
        <w:t xml:space="preserve">Confidence within the</w:t>
      </w:r>
      <w:r>
        <w:rPr>
          <w:b/>
          <w:bCs/>
        </w:rPr>
        <w:t xml:space="preserve"> </w:t>
      </w:r>
      <m:oMath>
        <m:r>
          <m:t>4.80</m:t>
        </m:r>
        <m:r>
          <m:rPr>
            <m:sty m:val="p"/>
          </m:rPr>
          <m:t>–</m:t>
        </m:r>
      </m:oMath>
      <w:r>
        <w:rPr>
          <w:b/>
          <w:bCs/>
        </w:rPr>
        <w:t xml:space="preserve">5.00 EPS range</w:t>
      </w:r>
    </w:p>
    <w:p>
      <w:pPr>
        <w:pStyle w:val="Compact"/>
        <w:numPr>
          <w:ilvl w:val="0"/>
          <w:numId w:val="1009"/>
        </w:numPr>
      </w:pPr>
      <w:r>
        <w:rPr>
          <w:b/>
          <w:bCs/>
        </w:rPr>
        <w:t xml:space="preserve">PCS backlog conversion and margin recovery</w:t>
      </w:r>
    </w:p>
    <w:p>
      <w:pPr>
        <w:pStyle w:val="Compact"/>
        <w:numPr>
          <w:ilvl w:val="0"/>
          <w:numId w:val="1009"/>
        </w:numPr>
      </w:pPr>
      <w:r>
        <w:rPr>
          <w:b/>
          <w:bCs/>
        </w:rPr>
        <w:t xml:space="preserve">PDx supplier normalization and Flyrcado progress</w:t>
      </w:r>
    </w:p>
    <w:p>
      <w:pPr>
        <w:pStyle w:val="Compact"/>
        <w:numPr>
          <w:ilvl w:val="0"/>
          <w:numId w:val="1009"/>
        </w:numPr>
      </w:pPr>
      <w:r>
        <w:rPr>
          <w:b/>
          <w:bCs/>
        </w:rPr>
        <w:t xml:space="preserve">Inflation, pricing and cost-mitigation trends</w:t>
      </w:r>
    </w:p>
    <w:p>
      <w:pPr>
        <w:pStyle w:val="Compact"/>
        <w:numPr>
          <w:ilvl w:val="0"/>
          <w:numId w:val="1009"/>
        </w:numPr>
      </w:pPr>
      <w:r>
        <w:rPr>
          <w:b/>
          <w:bCs/>
        </w:rPr>
        <w:t xml:space="preserve">Clarity around the CFO transition</w:t>
      </w:r>
    </w:p>
    <w:p>
      <w:pPr>
        <w:pStyle w:val="FirstParagraph"/>
      </w:pPr>
      <w:r>
        <w:t xml:space="preserve">A quarter with strong orders, operating-driven EPS growth and a credible margin bridge could begin rebuilding confidence after Q1’s guidance reduction. Conversely, a simple guidance reiteration without stronger evidence behind the second-half assumptions may not be enough.</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gehealthcare.com/events/event-details/ge-healthcare-second-quarter-2026-earnings-conference-call?utm_source=openai" TargetMode="External" /><Relationship Type="http://schemas.openxmlformats.org/officeDocument/2006/relationships/hyperlink" Id="rId10" Target="https://investor.gehealthcare.com/news-releases/news-release-details/ge-healthcare-announces-cfo-transition-reports-preliminary?utm_source=openai" TargetMode="External" /><Relationship Type="http://schemas.openxmlformats.org/officeDocument/2006/relationships/hyperlink" Id="rId13" Target="https://investor.gehealthcare.com/news-releases/news-release-details/ge-healthcare-reports-first-quarter-2026-financial-result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gehealthcare.com/events/event-details/ge-healthcare-second-quarter-2026-earnings-conference-call?utm_source=openai" TargetMode="External" /><Relationship Type="http://schemas.openxmlformats.org/officeDocument/2006/relationships/hyperlink" Id="rId10" Target="https://investor.gehealthcare.com/news-releases/news-release-details/ge-healthcare-announces-cfo-transition-reports-preliminary?utm_source=openai" TargetMode="External" /><Relationship Type="http://schemas.openxmlformats.org/officeDocument/2006/relationships/hyperlink" Id="rId13" Target="https://investor.gehealthcare.com/news-releases/news-release-details/ge-healthcare-reports-first-quarter-2026-financial-result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2026-07-29T00:36:02Z</dcterms:created>
  <dcterms:modified xsi:type="dcterms:W3CDTF">2026-07-29T00:36:02Z</dcterms:modified>
</cp:coreProperties>
</file>

<file path=docProps/custom.xml><?xml version="1.0" encoding="utf-8"?>
<Properties xmlns="http://schemas.openxmlformats.org/officeDocument/2006/custom-properties" xmlns:vt="http://schemas.openxmlformats.org/officeDocument/2006/docPropsVTypes"/>
</file>