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622ad92a7257a77d19c414f8ead5e2fbd07343"/>
    <w:p>
      <w:pPr>
        <w:pStyle w:val="Heading1"/>
      </w:pPr>
      <w:r>
        <w:t xml:space="preserve">GE HealthCare (GEHC)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GE HealthCare is scheduled to report</w:t>
      </w:r>
      <w:r>
        <w:t xml:space="preserve"> </w:t>
      </w:r>
      <w:r>
        <w:rPr>
          <w:b/>
          <w:bCs/>
        </w:rPr>
        <w:t xml:space="preserve">today, Wednesday, July 29, 2026</w:t>
      </w:r>
      <w:r>
        <w:t xml:space="preserve">, with its earnings call at</w:t>
      </w:r>
      <w:r>
        <w:t xml:space="preserve"> </w:t>
      </w:r>
      <w:r>
        <w:rPr>
          <w:b/>
          <w:bCs/>
        </w:rPr>
        <w:t xml:space="preserve">8:30 a.m. ET</w:t>
      </w:r>
      <w:r>
        <w:t xml:space="preserve">—not tomorrow. Importantly, the company already preannounced selected preliminary 2Q results on</w:t>
      </w:r>
      <w:r>
        <w:t xml:space="preserve"> </w:t>
      </w:r>
      <w:r>
        <w:rPr>
          <w:b/>
          <w:bCs/>
        </w:rPr>
        <w:t xml:space="preserve">July 23</w:t>
      </w:r>
      <w:r>
        <w:t xml:space="preserve">.</w:t>
      </w:r>
    </w:p>
    <w:bookmarkStart w:id="9" w:name="Xa1d7adafe0aa17f8897c86e1ddde98a7db5da32"/>
    <w:p>
      <w:pPr>
        <w:pStyle w:val="Heading2"/>
      </w:pPr>
      <w:r>
        <w:t xml:space="preserve">Investment view: the headline quarter is largely de-risked; the catalyst is now quality and credibility</w:t>
      </w:r>
    </w:p>
    <w:p>
      <w:pPr>
        <w:pStyle w:val="FirstParagraph"/>
      </w:pPr>
      <w:r>
        <w:t xml:space="preserve">GEHC has already indicated that 2Q26 revenue grew</w:t>
      </w:r>
      <w:r>
        <w:t xml:space="preserve"> </w:t>
      </w:r>
      <w:r>
        <w:rPr>
          <w:b/>
          <w:bCs/>
        </w:rPr>
        <w:t xml:space="preserve">5.7% reported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3.5% organically</w:t>
      </w:r>
      <w:r>
        <w:t xml:space="preserve">, while adjusted EPS grew year over year and came in</w:t>
      </w:r>
      <w:r>
        <w:t xml:space="preserve"> </w:t>
      </w:r>
      <w:r>
        <w:rPr>
          <w:b/>
          <w:bCs/>
        </w:rPr>
        <w:t xml:space="preserve">above its prior expectation</w:t>
      </w:r>
      <w:r>
        <w:t xml:space="preserve">. It also reaffirmed full-year guidance. That makes the upcoming release less about whether GEHC clears the basic quarterly bar and more about: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order trends support the expected second-half acceleration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magnitude and containment of inflation, tariff, and freight pressure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Patient Care Solutions (PCS) recovery and margin trajectory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management can maintain 2026 guidance with confidence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implications of CFO Jay Saccaro’s departure</w:t>
      </w:r>
    </w:p>
    <w:p>
      <w:pPr>
        <w:pStyle w:val="FirstParagraph"/>
      </w:pPr>
      <w:r>
        <w:t xml:space="preserve">The setup appears incrementally favorable following the preannouncement, but a large positive stock reaction may require evidence that the quarter’s upside is operational—not merely timing, FX, or discrete cost benefits—and that the back-half earnings ramp remains credible.</w:t>
      </w:r>
    </w:p>
    <w:p>
      <w:r>
        <w:pict>
          <v:rect style="width:0;height:1.5pt" o:hralign="center" o:hrstd="t" o:hr="t"/>
        </w:pict>
      </w:r>
    </w:p>
    <w:bookmarkEnd w:id="9"/>
    <w:bookmarkStart w:id="10" w:name="what-gehc-has-already-told-investors"/>
    <w:p>
      <w:pPr>
        <w:pStyle w:val="Heading2"/>
      </w:pPr>
      <w:r>
        <w:t xml:space="preserve">What GEHC has already told investors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Preliminary 2Q26 item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Disclosure</w:t>
            </w:r>
          </w:p>
        </w:tc>
        <w:tc>
          <w:tcPr/>
          <w:p>
            <w:pPr>
              <w:pStyle w:val="Compact"/>
            </w:pPr>
            <w:r>
              <w:t xml:space="preserve">Takeaway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$5.295B</w:t>
            </w:r>
            <w:r>
              <w:t xml:space="preserve">, +5.7% YoY</w:t>
            </w:r>
          </w:p>
        </w:tc>
        <w:tc>
          <w:tcPr/>
          <w:p>
            <w:pPr>
              <w:pStyle w:val="Compact"/>
            </w:pPr>
            <w:r>
              <w:t xml:space="preserve">Above the $5.007B reported in 2Q25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In line with management’s prior 2Q outlook of +3% to +4%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Up YoY; above prior expectation</w:t>
            </w:r>
          </w:p>
        </w:tc>
        <w:tc>
          <w:tcPr/>
          <w:p>
            <w:pPr>
              <w:pStyle w:val="Compact"/>
            </w:pPr>
            <w:r>
              <w:t xml:space="preserve">Meaningfully better than prior guidance for a low-single-digit YoY decline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Reaffirmed</w:t>
            </w:r>
          </w:p>
        </w:tc>
        <w:tc>
          <w:tcPr/>
          <w:p>
            <w:pPr>
              <w:pStyle w:val="Compact"/>
            </w:pPr>
            <w:r>
              <w:t xml:space="preserve">No change to sales, margin, EPS, or free-cash-flow outlook</w:t>
            </w:r>
          </w:p>
        </w:tc>
      </w:tr>
    </w:tbl>
    <w:p>
      <w:pPr>
        <w:pStyle w:val="BodyText"/>
      </w:pPr>
      <w:r>
        <w:t xml:space="preserve">The EPS commentary is the material positive. GEHC had previously anticipated a low-single-digit year-over-year adjusted-EPS decline in 2Q, versus</w:t>
      </w:r>
      <w:r>
        <w:t xml:space="preserve"> </w:t>
      </w:r>
      <m:oMath>
        <m:r>
          <m:t>1.06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2</m:t>
        </m:r>
        <m:r>
          <m:t>Q</m:t>
        </m:r>
        <m:r>
          <m:t>25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p</m:t>
        </m:r>
        <m:r>
          <m:t>r</m:t>
        </m:r>
        <m:r>
          <m:t>e</m:t>
        </m:r>
        <m:r>
          <m:t>l</m:t>
        </m:r>
        <m:r>
          <m:t>i</m:t>
        </m:r>
        <m:r>
          <m:t>m</m:t>
        </m:r>
        <m:r>
          <m:t>i</m:t>
        </m:r>
        <m:r>
          <m:t>n</m:t>
        </m:r>
        <m:r>
          <m:t>a</m:t>
        </m:r>
        <m:r>
          <m:t>r</m:t>
        </m:r>
        <m:r>
          <m:t>y</m:t>
        </m:r>
        <m:r>
          <m:t>u</m:t>
        </m:r>
        <m:r>
          <m:t>p</m:t>
        </m:r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h</m:t>
        </m:r>
        <m:r>
          <m:t>e</m:t>
        </m:r>
        <m:r>
          <m:t>r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o</m:t>
        </m:r>
        <m:r>
          <m:t>f</m:t>
        </m:r>
        <m:r>
          <m:t>a</m:t>
        </m:r>
        <m:r>
          <m:t>t</m:t>
        </m:r>
        <m:r>
          <m:t>l</m:t>
        </m:r>
        <m:r>
          <m:t>e</m:t>
        </m:r>
        <m:r>
          <m:t>a</m:t>
        </m:r>
        <m:r>
          <m:t>s</m:t>
        </m:r>
        <m:r>
          <m:t>t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1.07</w:t>
      </w:r>
      <w:r>
        <w:t xml:space="preserve">, although the company has not yet provided the exact figure.</w:t>
      </w:r>
    </w:p>
    <w:p>
      <w:r>
        <w:pict>
          <v:rect style="width:0;height:1.5pt" o:hralign="center" o:hrstd="t" o:hr="t"/>
        </w:pict>
      </w:r>
    </w:p>
    <w:bookmarkEnd w:id="10"/>
    <w:bookmarkStart w:id="11" w:name="X6868c6002b19313665ab855b4c5765359fdcc76"/>
    <w:p>
      <w:pPr>
        <w:pStyle w:val="Heading2"/>
      </w:pPr>
      <w:r>
        <w:t xml:space="preserve">Core debate: can GEHC convert healthy demand into higher-quality earnings?</w:t>
      </w:r>
    </w:p>
    <w:p>
      <w:pPr>
        <w:pStyle w:val="FirstParagraph"/>
      </w:pPr>
      <w:r>
        <w:t xml:space="preserve">Management entered the year with constructive end-market commentary: healthy capital-equipment demand, a record</w:t>
      </w:r>
      <w:r>
        <w:t xml:space="preserve"> </w:t>
      </w:r>
      <w:r>
        <w:rPr>
          <w:b/>
          <w:bCs/>
        </w:rPr>
        <w:t xml:space="preserve">$21.8B backlog</w:t>
      </w:r>
      <w:r>
        <w:t xml:space="preserve"> </w:t>
      </w:r>
      <w:r>
        <w:t xml:space="preserve">exiting 1Q, and a 1.07x book-to-bill ratio. The concern was not demand; it was profitability.</w:t>
      </w:r>
    </w:p>
    <w:p>
      <w:pPr>
        <w:pStyle w:val="BodyText"/>
      </w:pPr>
      <w:r>
        <w:t xml:space="preserve">In 1Q26, GEHC reported</w:t>
      </w:r>
      <w:r>
        <w:t xml:space="preserve"> </w:t>
      </w:r>
      <w:r>
        <w:rPr>
          <w:b/>
          <w:bCs/>
        </w:rPr>
        <w:t xml:space="preserve">2.9% organic revenue growth</w:t>
      </w:r>
      <w:r>
        <w:t xml:space="preserve"> </w:t>
      </w:r>
      <w:r>
        <w:t xml:space="preserve">but only a</w:t>
      </w:r>
      <w:r>
        <w:t xml:space="preserve"> </w:t>
      </w:r>
      <w:r>
        <w:rPr>
          <w:b/>
          <w:bCs/>
        </w:rPr>
        <w:t xml:space="preserve">13.5% adjusted EBIT margin</w:t>
      </w:r>
      <w:r>
        <w:t xml:space="preserve">, down 150 basis points year over year. The miss reflected tariffs, weaker PCS volume, and a discrete Pharmaceutical Diagnostics supplier-quality issue. The supplier issue was said to be resolved, leaving cost inflation and execution in PCS as the more enduring near-term questions.</w:t>
      </w:r>
    </w:p>
    <w:p>
      <w:pPr>
        <w:pStyle w:val="BodyText"/>
      </w:pPr>
      <w:r>
        <w:t xml:space="preserve">The 2Q preannouncement suggests commercial execution held up: organic growth accelerated from 2.9% in 1Q to 3.5% in 2Q. Investors now need confirmation that better-than-expected EPS was driven by underlying price/cost actions, volume mix, and improved execution rather than temporary items.</w:t>
      </w:r>
    </w:p>
    <w:p>
      <w:r>
        <w:pict>
          <v:rect style="width:0;height:1.5pt" o:hralign="center" o:hrstd="t" o:hr="t"/>
        </w:pict>
      </w:r>
    </w:p>
    <w:bookmarkEnd w:id="11"/>
    <w:bookmarkStart w:id="18" w:name="the-most-important-items-to-watch"/>
    <w:p>
      <w:pPr>
        <w:pStyle w:val="Heading2"/>
      </w:pPr>
      <w:r>
        <w:t xml:space="preserve">The most important items to watch</w:t>
      </w:r>
    </w:p>
    <w:bookmarkStart w:id="12" w:name="X7164b3dd8d454a67654ccfbcf17e6a995b04329"/>
    <w:p>
      <w:pPr>
        <w:pStyle w:val="Heading3"/>
      </w:pPr>
      <w:r>
        <w:t xml:space="preserve">1. Orders, book-to-bill, and backlog conversion</w:t>
      </w:r>
    </w:p>
    <w:p>
      <w:pPr>
        <w:pStyle w:val="FirstParagraph"/>
      </w:pPr>
      <w:r>
        <w:t xml:space="preserve">This is likely the single most important operational disclosure.</w:t>
      </w:r>
    </w:p>
    <w:p>
      <w:pPr>
        <w:pStyle w:val="BodyText"/>
      </w:pPr>
      <w:r>
        <w:t xml:space="preserve">GEHC’s 1Q organic orders rose only</w:t>
      </w:r>
      <w:r>
        <w:t xml:space="preserve"> </w:t>
      </w:r>
      <w:r>
        <w:rPr>
          <w:b/>
          <w:bCs/>
        </w:rPr>
        <w:t xml:space="preserve">1.1%</w:t>
      </w:r>
      <w:r>
        <w:t xml:space="preserve">, albeit against a difficult</w:t>
      </w:r>
      <w:r>
        <w:t xml:space="preserve"> </w:t>
      </w:r>
      <w:r>
        <w:rPr>
          <w:b/>
          <w:bCs/>
        </w:rPr>
        <w:t xml:space="preserve">10.3%</w:t>
      </w:r>
      <w:r>
        <w:t xml:space="preserve"> </w:t>
      </w:r>
      <w:r>
        <w:t xml:space="preserve">prior-year comparison. Management nevertheless described capital-equipment markets as healthy and expected a stronger second half, supported by backlog conversion, new products, and PCS monitoring-installation timing.</w:t>
      </w:r>
    </w:p>
    <w:p>
      <w:pPr>
        <w:pStyle w:val="BodyText"/>
      </w:pPr>
      <w:r>
        <w:rPr>
          <w:b/>
          <w:bCs/>
        </w:rPr>
        <w:t xml:space="preserve">What would be constructive</w:t>
      </w:r>
    </w:p>
    <w:p>
      <w:pPr>
        <w:pStyle w:val="Compact"/>
        <w:numPr>
          <w:ilvl w:val="0"/>
          <w:numId w:val="1002"/>
        </w:numPr>
      </w:pPr>
      <w:r>
        <w:t xml:space="preserve">Organic order growth that reaccelerates from 1Q levels</w:t>
      </w:r>
    </w:p>
    <w:p>
      <w:pPr>
        <w:pStyle w:val="Compact"/>
        <w:numPr>
          <w:ilvl w:val="0"/>
          <w:numId w:val="1002"/>
        </w:numPr>
      </w:pPr>
      <w:r>
        <w:t xml:space="preserve">Book-to-bill at or above 1.0x</w:t>
      </w:r>
    </w:p>
    <w:p>
      <w:pPr>
        <w:pStyle w:val="Compact"/>
        <w:numPr>
          <w:ilvl w:val="0"/>
          <w:numId w:val="1002"/>
        </w:numPr>
      </w:pPr>
      <w:r>
        <w:t xml:space="preserve">Evidence that large PCS monitoring projects are proceeding as planned</w:t>
      </w:r>
    </w:p>
    <w:p>
      <w:pPr>
        <w:pStyle w:val="Compact"/>
        <w:numPr>
          <w:ilvl w:val="0"/>
          <w:numId w:val="1002"/>
        </w:numPr>
      </w:pPr>
      <w:r>
        <w:t xml:space="preserve">Confirmation that Imaging/AVS demand remains strong across the U.S., EMEA, and Rest of World</w:t>
      </w:r>
    </w:p>
    <w:p>
      <w:pPr>
        <w:pStyle w:val="FirstParagraph"/>
      </w:pPr>
      <w:r>
        <w:rPr>
          <w:b/>
          <w:bCs/>
        </w:rPr>
        <w:t xml:space="preserve">What would concern investors</w:t>
      </w:r>
    </w:p>
    <w:p>
      <w:pPr>
        <w:pStyle w:val="Compact"/>
        <w:numPr>
          <w:ilvl w:val="0"/>
          <w:numId w:val="1003"/>
        </w:numPr>
      </w:pPr>
      <w:r>
        <w:t xml:space="preserve">Orders lagging revenue materially</w:t>
      </w:r>
    </w:p>
    <w:p>
      <w:pPr>
        <w:pStyle w:val="Compact"/>
        <w:numPr>
          <w:ilvl w:val="0"/>
          <w:numId w:val="1003"/>
        </w:numPr>
      </w:pPr>
      <w:r>
        <w:t xml:space="preserve">Any slippage in PCS installations or backlog conversion</w:t>
      </w:r>
    </w:p>
    <w:p>
      <w:pPr>
        <w:pStyle w:val="Compact"/>
        <w:numPr>
          <w:ilvl w:val="0"/>
          <w:numId w:val="1003"/>
        </w:numPr>
      </w:pPr>
      <w:r>
        <w:t xml:space="preserve">A more cautious demand outlook in China or among hospital capital budgets</w:t>
      </w:r>
    </w:p>
    <w:bookmarkEnd w:id="12"/>
    <w:bookmarkStart w:id="13" w:name="Xaa0b904a4d583e6ee74695eeb303024d9f72b31"/>
    <w:p>
      <w:pPr>
        <w:pStyle w:val="Heading3"/>
      </w:pPr>
      <w:r>
        <w:t xml:space="preserve">2. Full-year guidance: reaffirmation was positive, but the details matter</w:t>
      </w:r>
    </w:p>
    <w:p>
      <w:pPr>
        <w:pStyle w:val="FirstParagraph"/>
      </w:pPr>
      <w:r>
        <w:t xml:space="preserve">GEHC reaffirmed its FY26 outlook: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outlook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+3% to +4%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15.4% to 15.7%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$4.80 to $5.00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~$1.6B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tax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20% to 21%</w:t>
            </w:r>
          </w:p>
        </w:tc>
      </w:tr>
    </w:tbl>
    <w:p>
      <w:pPr>
        <w:pStyle w:val="BodyText"/>
      </w:pPr>
      <w:r>
        <w:t xml:space="preserve">A maintained guide after a better-than-expected 2Q EPS result is constructive, but it also signals that management is retaining caution around the second half. The full-year range requires a sizable earnings step-up after the first half, given 1Q adjusted EPS of $0.99 and the company’s prior expectation for a softer 2Q.</w:t>
      </w:r>
    </w:p>
    <w:p>
      <w:pPr>
        <w:pStyle w:val="BodyText"/>
      </w:pPr>
      <w:r>
        <w:t xml:space="preserve">The key question for the call:</w:t>
      </w:r>
      <w:r>
        <w:t xml:space="preserve"> </w:t>
      </w:r>
      <w:r>
        <w:rPr>
          <w:b/>
          <w:bCs/>
        </w:rPr>
        <w:t xml:space="preserve">Is the 2Q upside a reason to raise the floor of guidance, or simply a buffer against still-elevated 2H uncertainty?</w:t>
      </w:r>
    </w:p>
    <w:bookmarkEnd w:id="13"/>
    <w:bookmarkStart w:id="14" w:name="X295b57ad4a240cefe7fa0cd95da91dadc98b866"/>
    <w:p>
      <w:pPr>
        <w:pStyle w:val="Heading3"/>
      </w:pPr>
      <w:r>
        <w:t xml:space="preserve">3. Inflation and tariff mitigation</w:t>
      </w:r>
    </w:p>
    <w:p>
      <w:pPr>
        <w:pStyle w:val="FirstParagraph"/>
      </w:pPr>
      <w:r>
        <w:t xml:space="preserve">At 1Q earnings, GEHC reduced its FY26 profit outlook because it expected approximately</w:t>
      </w:r>
      <w:r>
        <w:t xml:space="preserve"> </w:t>
      </w:r>
      <w:r>
        <w:rPr>
          <w:b/>
          <w:bCs/>
        </w:rPr>
        <w:t xml:space="preserve">$250M</w:t>
      </w:r>
      <w:r>
        <w:t xml:space="preserve"> </w:t>
      </w:r>
      <w:r>
        <w:t xml:space="preserve">of gross inflation pressure, largely tied to memory chips, oil/freight, and other commodities. Management expected to offset more than half through pricing and cost measures, but noted that these actions would contribute much more in the second half.</w:t>
      </w:r>
    </w:p>
    <w:p>
      <w:pPr>
        <w:pStyle w:val="BodyText"/>
      </w:pPr>
      <w:r>
        <w:t xml:space="preserve">The company also said in 1Q that:</w:t>
      </w:r>
    </w:p>
    <w:p>
      <w:pPr>
        <w:pStyle w:val="Compact"/>
        <w:numPr>
          <w:ilvl w:val="0"/>
          <w:numId w:val="1004"/>
        </w:numPr>
      </w:pPr>
      <w:r>
        <w:t xml:space="preserve">2Q would be the first quarter with meaningful inflation impact;</w:t>
      </w:r>
    </w:p>
    <w:p>
      <w:pPr>
        <w:pStyle w:val="Compact"/>
        <w:numPr>
          <w:ilvl w:val="0"/>
          <w:numId w:val="1004"/>
        </w:numPr>
      </w:pPr>
      <w:r>
        <w:t xml:space="preserve">the largest gross cost effect would occur in 3Q and 4Q;</w:t>
      </w:r>
    </w:p>
    <w:p>
      <w:pPr>
        <w:pStyle w:val="Compact"/>
        <w:numPr>
          <w:ilvl w:val="0"/>
          <w:numId w:val="1004"/>
        </w:numPr>
      </w:pPr>
      <w:r>
        <w:t xml:space="preserve">most offset actions would begin benefiting results in the second half.</w:t>
      </w:r>
    </w:p>
    <w:p>
      <w:pPr>
        <w:pStyle w:val="FirstParagraph"/>
      </w:pPr>
      <w:r>
        <w:t xml:space="preserve">Accordingly, investors should focus less on 2Q margin in isolation and more on management’s confidence in its</w:t>
      </w:r>
      <w:r>
        <w:t xml:space="preserve"> </w:t>
      </w:r>
      <w:r>
        <w:rPr>
          <w:b/>
          <w:bCs/>
        </w:rPr>
        <w:t xml:space="preserve">3Q–4Q price/cost offsets</w:t>
      </w:r>
      <w:r>
        <w:t xml:space="preserve">. A reaffirmation of the EBIT-margin guide is helpful; specific evidence on pricing realization, freight actions, and memory-cost assumptions would be more important.</w:t>
      </w:r>
    </w:p>
    <w:bookmarkEnd w:id="14"/>
    <w:bookmarkStart w:id="15" w:name="X92c939cc7092319f5cffbc15a1e7e284c0fc6d5"/>
    <w:p>
      <w:pPr>
        <w:pStyle w:val="Heading3"/>
      </w:pPr>
      <w:r>
        <w:t xml:space="preserve">4. Patient Care Solutions remains the principal execution risk</w:t>
      </w:r>
    </w:p>
    <w:p>
      <w:pPr>
        <w:pStyle w:val="FirstParagraph"/>
      </w:pPr>
      <w:r>
        <w:t xml:space="preserve">PCS was the weak point in 1Q:</w:t>
      </w:r>
    </w:p>
    <w:p>
      <w:pPr>
        <w:pStyle w:val="Compact"/>
        <w:numPr>
          <w:ilvl w:val="0"/>
          <w:numId w:val="1005"/>
        </w:numPr>
      </w:pPr>
      <w:r>
        <w:t xml:space="preserve">Organic revenue:</w:t>
      </w:r>
      <w:r>
        <w:t xml:space="preserve"> </w:t>
      </w:r>
      <w:r>
        <w:rPr>
          <w:b/>
          <w:bCs/>
        </w:rPr>
        <w:t xml:space="preserve">-8.1%</w:t>
      </w:r>
    </w:p>
    <w:p>
      <w:pPr>
        <w:pStyle w:val="Compact"/>
        <w:numPr>
          <w:ilvl w:val="0"/>
          <w:numId w:val="1005"/>
        </w:numPr>
      </w:pPr>
      <w:r>
        <w:t xml:space="preserve">EBIT margin:</w:t>
      </w:r>
      <w:r>
        <w:t xml:space="preserve"> </w:t>
      </w:r>
      <w:r>
        <w:rPr>
          <w:b/>
          <w:bCs/>
        </w:rPr>
        <w:t xml:space="preserve">1.4%</w:t>
      </w:r>
      <w:r>
        <w:t xml:space="preserve">, down 500 basis points year over year</w:t>
      </w:r>
    </w:p>
    <w:p>
      <w:pPr>
        <w:pStyle w:val="FirstParagraph"/>
      </w:pPr>
      <w:r>
        <w:t xml:space="preserve">Management attributed the weakness primarily to timing of larger monitoring installations, which were expected to be more second-half weighted, along with tariff pressure. It also anticipated a U.S. clearance for a new premium anesthesia product in 3Q.</w:t>
      </w:r>
    </w:p>
    <w:p>
      <w:pPr>
        <w:pStyle w:val="BodyText"/>
      </w:pPr>
      <w:r>
        <w:t xml:space="preserve">For 2Q, investors should look for:</w:t>
      </w:r>
    </w:p>
    <w:p>
      <w:pPr>
        <w:pStyle w:val="Compact"/>
        <w:numPr>
          <w:ilvl w:val="0"/>
          <w:numId w:val="1006"/>
        </w:numPr>
      </w:pPr>
      <w:r>
        <w:t xml:space="preserve">Stabilization in PCS revenue and orders;</w:t>
      </w:r>
    </w:p>
    <w:p>
      <w:pPr>
        <w:pStyle w:val="Compact"/>
        <w:numPr>
          <w:ilvl w:val="0"/>
          <w:numId w:val="1006"/>
        </w:numPr>
      </w:pPr>
      <w:r>
        <w:t xml:space="preserve">Progress on backlog conversion;</w:t>
      </w:r>
    </w:p>
    <w:p>
      <w:pPr>
        <w:pStyle w:val="Compact"/>
        <w:numPr>
          <w:ilvl w:val="0"/>
          <w:numId w:val="1006"/>
        </w:numPr>
      </w:pPr>
      <w:r>
        <w:t xml:space="preserve">Commentary on the new anesthesia product’s regulatory timing;</w:t>
      </w:r>
    </w:p>
    <w:p>
      <w:pPr>
        <w:pStyle w:val="Compact"/>
        <w:numPr>
          <w:ilvl w:val="0"/>
          <w:numId w:val="1006"/>
        </w:numPr>
      </w:pPr>
      <w:r>
        <w:t xml:space="preserve">Evidence that pricing and cost-structure initiatives are improving profitability.</w:t>
      </w:r>
    </w:p>
    <w:p>
      <w:pPr>
        <w:pStyle w:val="FirstParagraph"/>
      </w:pPr>
      <w:r>
        <w:t xml:space="preserve">A PCS recovery is central to the back-half growth and margin thesis. Continued underperformance would make the full-year margin guide more difficult to defend.</w:t>
      </w:r>
    </w:p>
    <w:bookmarkEnd w:id="15"/>
    <w:bookmarkStart w:id="16" w:name="X05c994605810ed9d966ad5bb9cd0e2365eacc80"/>
    <w:p>
      <w:pPr>
        <w:pStyle w:val="Heading3"/>
      </w:pPr>
      <w:r>
        <w:t xml:space="preserve">5. Pharmaceutical Diagnostics: growth engine, but margin and competition bear watching</w:t>
      </w:r>
    </w:p>
    <w:p>
      <w:pPr>
        <w:pStyle w:val="FirstParagraph"/>
      </w:pPr>
      <w:r>
        <w:t xml:space="preserve">PDx delivered</w:t>
      </w:r>
      <w:r>
        <w:t xml:space="preserve"> </w:t>
      </w:r>
      <w:r>
        <w:rPr>
          <w:b/>
          <w:bCs/>
        </w:rPr>
        <w:t xml:space="preserve">9.7% organic growth</w:t>
      </w:r>
      <w:r>
        <w:t xml:space="preserve"> </w:t>
      </w:r>
      <w:r>
        <w:t xml:space="preserve">in 1Q, driven by contrast media, pricing, and radiopharmaceuticals. Flyrcado continued to ramp: management cited approximately 390 doses in the week ended April 17, 2026, and reiterated a goal of at least</w:t>
      </w:r>
      <w:r>
        <w:t xml:space="preserve"> </w:t>
      </w:r>
      <w:r>
        <w:rPr>
          <w:b/>
          <w:bCs/>
        </w:rPr>
        <w:t xml:space="preserve">$500M</w:t>
      </w:r>
      <w:r>
        <w:t xml:space="preserve"> </w:t>
      </w:r>
      <w:r>
        <w:t xml:space="preserve">in annual revenue by 2028.</w:t>
      </w:r>
    </w:p>
    <w:p>
      <w:pPr>
        <w:pStyle w:val="BodyText"/>
      </w:pPr>
      <w:r>
        <w:t xml:space="preserve">Items to watch:</w:t>
      </w:r>
    </w:p>
    <w:p>
      <w:pPr>
        <w:pStyle w:val="Compact"/>
        <w:numPr>
          <w:ilvl w:val="0"/>
          <w:numId w:val="1007"/>
        </w:numPr>
      </w:pPr>
      <w:r>
        <w:t xml:space="preserve">Flyrcado dose growth, customer additions, CMO reliability, and reimbursement/workflow adoption;</w:t>
      </w:r>
    </w:p>
    <w:p>
      <w:pPr>
        <w:pStyle w:val="Compact"/>
        <w:numPr>
          <w:ilvl w:val="0"/>
          <w:numId w:val="1007"/>
        </w:numPr>
      </w:pPr>
      <w:r>
        <w:t xml:space="preserve">Vizamyl growth tied to broader use of Alzheimer’s disease-modifying therapies;</w:t>
      </w:r>
    </w:p>
    <w:p>
      <w:pPr>
        <w:pStyle w:val="Compact"/>
        <w:numPr>
          <w:ilvl w:val="0"/>
          <w:numId w:val="1007"/>
        </w:numPr>
      </w:pPr>
      <w:r>
        <w:t xml:space="preserve">The resolved supplier issue’s residual impact;</w:t>
      </w:r>
    </w:p>
    <w:p>
      <w:pPr>
        <w:pStyle w:val="Compact"/>
        <w:numPr>
          <w:ilvl w:val="0"/>
          <w:numId w:val="1007"/>
        </w:numPr>
      </w:pPr>
      <w:r>
        <w:t xml:space="preserve">Any update on generic competition in contrast media.</w:t>
      </w:r>
    </w:p>
    <w:p>
      <w:pPr>
        <w:pStyle w:val="FirstParagraph"/>
      </w:pPr>
      <w:r>
        <w:t xml:space="preserve">PDx margin was pressured in 1Q by the supplier issue, investment in radiopharmaceuticals, and the Nihon Medi-Physics acquisition. A clean 2Q margin progression would help validate that the 1Q weakness was largely transitory.</w:t>
      </w:r>
    </w:p>
    <w:bookmarkEnd w:id="16"/>
    <w:bookmarkStart w:id="17" w:name="X7b99d8b60a1d8460cc8395c41b1c51b0d7943a0"/>
    <w:p>
      <w:pPr>
        <w:pStyle w:val="Heading3"/>
      </w:pPr>
      <w:r>
        <w:t xml:space="preserve">6. New Advanced Imaging Solutions reporting and innovation pipeline</w:t>
      </w:r>
    </w:p>
    <w:p>
      <w:pPr>
        <w:pStyle w:val="FirstParagraph"/>
      </w:pPr>
      <w:r>
        <w:t xml:space="preserve">GEHC is combining its former Imaging and Advanced Visualization Solutions businesses into</w:t>
      </w:r>
      <w:r>
        <w:t xml:space="preserve"> </w:t>
      </w:r>
      <w:r>
        <w:rPr>
          <w:b/>
          <w:bCs/>
        </w:rPr>
        <w:t xml:space="preserve">Advanced Imaging Solutions (AIS)</w:t>
      </w:r>
      <w:r>
        <w:t xml:space="preserve">, with recast financials expected alongside 2Q reporting.</w:t>
      </w:r>
    </w:p>
    <w:p>
      <w:pPr>
        <w:pStyle w:val="BodyText"/>
      </w:pPr>
      <w:r>
        <w:t xml:space="preserve">This is strategically relevant because the company is positioning AIS around integrated clinical pathways, AI-enabled imaging, and a stronger commercial/technology focus. Investors should watch for:</w:t>
      </w:r>
    </w:p>
    <w:p>
      <w:pPr>
        <w:pStyle w:val="Compact"/>
        <w:numPr>
          <w:ilvl w:val="0"/>
          <w:numId w:val="1008"/>
        </w:numPr>
      </w:pPr>
      <w:r>
        <w:t xml:space="preserve">The newly disclosed AIS growth and margin profile;</w:t>
      </w:r>
    </w:p>
    <w:p>
      <w:pPr>
        <w:pStyle w:val="Compact"/>
        <w:numPr>
          <w:ilvl w:val="0"/>
          <w:numId w:val="1008"/>
        </w:numPr>
      </w:pPr>
      <w:r>
        <w:t xml:space="preserve">Incremental cost-synergy expectations;</w:t>
      </w:r>
    </w:p>
    <w:p>
      <w:pPr>
        <w:pStyle w:val="Compact"/>
        <w:numPr>
          <w:ilvl w:val="0"/>
          <w:numId w:val="1008"/>
        </w:numPr>
      </w:pPr>
      <w:r>
        <w:t xml:space="preserve">Adoption commentary around Vivid Pioneer, Revolution Vibe, and Photonova Spectra photon-counting CT;</w:t>
      </w:r>
    </w:p>
    <w:p>
      <w:pPr>
        <w:pStyle w:val="Compact"/>
        <w:numPr>
          <w:ilvl w:val="0"/>
          <w:numId w:val="1008"/>
        </w:numPr>
      </w:pPr>
      <w:r>
        <w:t xml:space="preserve">The commercial funnel and timing for photon-counting CT, where revenue contribution is expected to be more meaningful in 2027 rather than 2026.</w:t>
      </w:r>
    </w:p>
    <w:p>
      <w:pPr>
        <w:pStyle w:val="FirstParagraph"/>
      </w:pPr>
      <w:r>
        <w:t xml:space="preserve">The innovation pipeline is a medium-term upside rather than a major 2Q revenue driver. The near-term question is whether it is already supporting orders, mix, and pricing.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X2c4738d59bf6996bff82570bf2b1893d165827b"/>
    <w:p>
      <w:pPr>
        <w:pStyle w:val="Heading2"/>
      </w:pPr>
      <w:r>
        <w:t xml:space="preserve">CFO transition: likely manageable, but an avoidable overhang</w:t>
      </w:r>
    </w:p>
    <w:p>
      <w:pPr>
        <w:pStyle w:val="FirstParagraph"/>
      </w:pPr>
      <w:r>
        <w:t xml:space="preserve">On July 23, GEHC announced that CFO</w:t>
      </w:r>
      <w:r>
        <w:t xml:space="preserve"> </w:t>
      </w:r>
      <w:r>
        <w:rPr>
          <w:b/>
          <w:bCs/>
        </w:rPr>
        <w:t xml:space="preserve">Jay Saccaro</w:t>
      </w:r>
      <w:r>
        <w:t xml:space="preserve"> </w:t>
      </w:r>
      <w:r>
        <w:t xml:space="preserve">will leave on</w:t>
      </w:r>
      <w:r>
        <w:t xml:space="preserve"> </w:t>
      </w:r>
      <w:r>
        <w:rPr>
          <w:b/>
          <w:bCs/>
        </w:rPr>
        <w:t xml:space="preserve">August 14, 2026</w:t>
      </w:r>
      <w:r>
        <w:t xml:space="preserve"> </w:t>
      </w:r>
      <w:r>
        <w:t xml:space="preserve">for a role outside the medical-technology industry. Controller and Chief Accounting Officer</w:t>
      </w:r>
      <w:r>
        <w:t xml:space="preserve"> </w:t>
      </w:r>
      <w:r>
        <w:rPr>
          <w:b/>
          <w:bCs/>
        </w:rPr>
        <w:t xml:space="preserve">George Newcomb</w:t>
      </w:r>
      <w:r>
        <w:t xml:space="preserve"> </w:t>
      </w:r>
      <w:r>
        <w:t xml:space="preserve">will become interim CFO while the company conducts a search.</w:t>
      </w:r>
    </w:p>
    <w:p>
      <w:pPr>
        <w:pStyle w:val="BodyText"/>
      </w:pPr>
      <w:r>
        <w:t xml:space="preserve">The timing is not ideal: Saccaro has been closely associated with GEHC’s financial discipline, capital allocation, tariff mitigation, and post-spin operating framework. Still, Newcomb has been GE HealthCare’s controller since 2016 and chief accounting officer since the 2023 separation, which should reduce continuity risk.</w:t>
      </w:r>
    </w:p>
    <w:p>
      <w:pPr>
        <w:pStyle w:val="BodyText"/>
      </w:pPr>
      <w:r>
        <w:t xml:space="preserve">The call should clarify:</w:t>
      </w:r>
    </w:p>
    <w:p>
      <w:pPr>
        <w:pStyle w:val="Compact"/>
        <w:numPr>
          <w:ilvl w:val="0"/>
          <w:numId w:val="1009"/>
        </w:numPr>
      </w:pPr>
      <w:r>
        <w:t xml:space="preserve">Whether the departure is purely career-driven;</w:t>
      </w:r>
    </w:p>
    <w:p>
      <w:pPr>
        <w:pStyle w:val="Compact"/>
        <w:numPr>
          <w:ilvl w:val="0"/>
          <w:numId w:val="1009"/>
        </w:numPr>
      </w:pPr>
      <w:r>
        <w:t xml:space="preserve">The expected timeline and profile for a permanent successor;</w:t>
      </w:r>
    </w:p>
    <w:p>
      <w:pPr>
        <w:pStyle w:val="Compact"/>
        <w:numPr>
          <w:ilvl w:val="0"/>
          <w:numId w:val="1009"/>
        </w:numPr>
      </w:pPr>
      <w:r>
        <w:t xml:space="preserve">Whether the company’s capital-allocation priorities or financial framework will change.</w:t>
      </w:r>
    </w:p>
    <w:p>
      <w:pPr>
        <w:pStyle w:val="FirstParagraph"/>
      </w:pPr>
      <w:r>
        <w:t xml:space="preserve">Absent broader signs of disruption, this should be a governance overhang rather than a change in the operating thesis.</w:t>
      </w:r>
    </w:p>
    <w:p>
      <w:r>
        <w:pict>
          <v:rect style="width:0;height:1.5pt" o:hralign="center" o:hrstd="t" o:hr="t"/>
        </w:pict>
      </w:r>
    </w:p>
    <w:bookmarkEnd w:id="19"/>
    <w:bookmarkStart w:id="20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GEHC closed at</w:t>
      </w:r>
      <w:r>
        <w:t xml:space="preserve"> </w:t>
      </w:r>
      <m:oMath>
        <m:r>
          <m:t>64.13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e</m:t>
        </m:r>
        <m:r>
          <m:t>s</m:t>
        </m:r>
        <m:r>
          <m:t>s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u</m:t>
        </m:r>
        <m:r>
          <m:t>n</m:t>
        </m:r>
        <m:r>
          <m:t>c</m:t>
        </m:r>
        <m:r>
          <m:t>h</m:t>
        </m:r>
        <m:r>
          <m:t>a</m:t>
        </m:r>
        <m:r>
          <m:t>n</m:t>
        </m:r>
        <m:r>
          <m:t>g</m:t>
        </m:r>
        <m:r>
          <m:t>e</m:t>
        </m:r>
        <m:r>
          <m:t>d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64.01 on June 30</w:t>
      </w:r>
      <w:r>
        <w:t xml:space="preserve">. The shares fell to $60.58 on July 24—immediately after the preliminary-results/CFO-transition announcement—but subsequently recovered nearly 6% into the report.</w:t>
      </w:r>
    </w:p>
    <w:p>
      <w:pPr>
        <w:pStyle w:val="BodyText"/>
      </w:pPr>
      <w:r>
        <w:t xml:space="preserve">That trading pattern suggests investors have begun to separate the favorable preliminary results from the leadership-transition concern. Still, because revenue growth, organic growth, EPS direction, and FY guidance have already been disclosed, the stock’s reaction will likely hinge on the</w:t>
      </w:r>
      <w:r>
        <w:t xml:space="preserve"> </w:t>
      </w:r>
      <w:r>
        <w:rPr>
          <w:b/>
          <w:bCs/>
        </w:rPr>
        <w:t xml:space="preserve">unreported details</w:t>
      </w:r>
      <w:r>
        <w:t xml:space="preserve">: orders, margins, segments, cash flow, and 2H confidence.</w:t>
      </w:r>
    </w:p>
    <w:p>
      <w:r>
        <w:pict>
          <v:rect style="width:0;height:1.5pt" o:hralign="center" o:hrstd="t" o:hr="t"/>
        </w:pict>
      </w:r>
    </w:p>
    <w:bookmarkEnd w:id="20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Constructive near-term setup, but the report must validate a back-half execution story.</w:t>
      </w:r>
      <w:r>
        <w:t xml:space="preserve"> </w:t>
      </w:r>
      <w:r>
        <w:t xml:space="preserve">GEHC has already removed much of the risk around the 2Q headline: organic growth was in range, adjusted EPS beat its prior outlook, and FY guidance was maintained. The investment debate now shifts to whether the company can translate solid end-market demand and innovation momentum into margin recovery despite inflation, tariffs, and a weak PCS starting point.</w:t>
      </w:r>
    </w:p>
    <w:bookmarkStart w:id="21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Orders accelerate, backlog conversion is intact, and PCS improves.</w:t>
      </w:r>
    </w:p>
    <w:p>
      <w:pPr>
        <w:pStyle w:val="Compact"/>
        <w:numPr>
          <w:ilvl w:val="0"/>
          <w:numId w:val="1010"/>
        </w:numPr>
      </w:pPr>
      <w:r>
        <w:t xml:space="preserve">Inflation offsets are tracking ahead of plan.</w:t>
      </w:r>
    </w:p>
    <w:p>
      <w:pPr>
        <w:pStyle w:val="Compact"/>
        <w:numPr>
          <w:ilvl w:val="0"/>
          <w:numId w:val="1010"/>
        </w:numPr>
      </w:pPr>
      <w:r>
        <w:t xml:space="preserve">PDx remains a durable growth and mix driver.</w:t>
      </w:r>
    </w:p>
    <w:p>
      <w:pPr>
        <w:pStyle w:val="Compact"/>
        <w:numPr>
          <w:ilvl w:val="0"/>
          <w:numId w:val="1010"/>
        </w:numPr>
      </w:pPr>
      <w:r>
        <w:t xml:space="preserve">Management’s maintained outlook begins to look conservative rather than fragile.</w:t>
      </w:r>
    </w:p>
    <w:bookmarkEnd w:id="21"/>
    <w:bookmarkStart w:id="22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1"/>
        </w:numPr>
      </w:pPr>
      <w:r>
        <w:t xml:space="preserve">The EPS upside proves timing- or item-driven rather than operational.</w:t>
      </w:r>
    </w:p>
    <w:p>
      <w:pPr>
        <w:pStyle w:val="Compact"/>
        <w:numPr>
          <w:ilvl w:val="0"/>
          <w:numId w:val="1011"/>
        </w:numPr>
      </w:pPr>
      <w:r>
        <w:t xml:space="preserve">PCS recovery is deferred again.</w:t>
      </w:r>
    </w:p>
    <w:p>
      <w:pPr>
        <w:pStyle w:val="Compact"/>
        <w:numPr>
          <w:ilvl w:val="0"/>
          <w:numId w:val="1011"/>
        </w:numPr>
      </w:pPr>
      <w:r>
        <w:t xml:space="preserve">Margin protection depends too heavily on a 2H pricing/cost ramp.</w:t>
      </w:r>
    </w:p>
    <w:p>
      <w:pPr>
        <w:pStyle w:val="Compact"/>
        <w:numPr>
          <w:ilvl w:val="0"/>
          <w:numId w:val="1011"/>
        </w:numPr>
      </w:pPr>
      <w:r>
        <w:t xml:space="preserve">CFO transition introduces uncertainty just as GEHC needs to demonstrate consistent execution.</w:t>
      </w:r>
    </w:p>
    <w:bookmarkEnd w:id="22"/>
    <w:bookmarkStart w:id="23" w:name="most-important-call-question"/>
    <w:p>
      <w:pPr>
        <w:pStyle w:val="Heading3"/>
      </w:pPr>
      <w:r>
        <w:t xml:space="preserve">Most important call question</w:t>
      </w:r>
    </w:p>
    <w:p>
      <w:pPr>
        <w:pStyle w:val="FirstParagraph"/>
      </w:pPr>
      <w:r>
        <w:rPr>
          <w:b/>
          <w:bCs/>
        </w:rPr>
        <w:t xml:space="preserve">What specifically gives management confidence that the planned 3Q–4Q margin and EPS acceleration will occur, and how much of the 2Q EPS upside is sustainable?</w:t>
      </w:r>
    </w:p>
    <w:p>
      <w:pPr>
        <w:pStyle w:val="BodyText"/>
      </w:pPr>
      <w:r>
        <w:rPr>
          <w:i/>
          <w:iCs/>
        </w:rPr>
        <w:t xml:space="preserve">Sources: GE HealthCare’s 1Q26 earnings release and call materials dated April 29, 2026; preliminary 2Q26 results and CFO-transition disclosure dated July 23, 2026; GE HealthCare’s 2Q25 earnings release; historical GEHC share-price data through July 28, 2026.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2026-07-29T00:35:05Z</dcterms:created>
  <dcterms:modified xsi:type="dcterms:W3CDTF">2026-07-29T00:35:05Z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