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Corning (GLW) before writing the preview. Let me gather recent earnings materials, news, and price data.Remarkable price action — GLW ran from ~</w:t>
      </w:r>
      <m:oMath>
        <m:r>
          <m:t>46</m:t>
        </m:r>
        <m:r>
          <m:t>t</m:t>
        </m:r>
        <m:r>
          <m:t>o</m:t>
        </m:r>
        <m:r>
          <m:t>a</m:t>
        </m:r>
        <m:r>
          <m:t>p</m:t>
        </m:r>
        <m:r>
          <m:t>e</m:t>
        </m:r>
        <m:r>
          <m:t>a</m:t>
        </m:r>
        <m:r>
          <m:t>k</m:t>
        </m:r>
        <m:r>
          <m:t>o</m:t>
        </m:r>
        <m:r>
          <m:t>f</m:t>
        </m:r>
        <m:r>
          <m:t> </m:t>
        </m:r>
      </m:oMath>
      <w:r>
        <w:t xml:space="preserve">255 then pulled back to ~$143. Let me dig into the fundamentals: the Q1 2026 release/call, the recent Investor Day, and recent news.Let me read the Q1 2026 earnings call and the May Investor Day, and check news around the sharp pullback from the June peak.Let me get the Investor Day details (the upgraded Springboard plan) and recent mid-July news to round out the setup.Let me pull the key upgraded targets from the May 6 Investor Day to complete the picture.I now have what I need. Here's the earnings preview.</w:t>
      </w:r>
    </w:p>
    <w:p>
      <w:r>
        <w:pict>
          <v:rect style="width:0;height:1.5pt" o:hralign="center" o:hrstd="t" o:hr="t"/>
        </w:pict>
      </w:r>
    </w:p>
    <w:bookmarkStart w:id="17" w:name="corning-glw--q2-fy2026-earnings-preview"/>
    <w:p>
      <w:pPr>
        <w:pStyle w:val="Heading1"/>
      </w:pPr>
      <w:r>
        <w:t xml:space="preserve">Corning (GLW) — Q2 FY2026 Earnings Preview</w:t>
      </w:r>
    </w:p>
    <w:bookmarkStart w:id="9" w:name="Xd35daab93771c2dda08c15d1934cbd7fe6d08f5"/>
    <w:p>
      <w:pPr>
        <w:pStyle w:val="Heading3"/>
      </w:pPr>
      <w:r>
        <w:t xml:space="preserve">Reports Tuesday, July 28, 2026 (before the open) | 2026Q2 Earnings Call</w:t>
      </w:r>
    </w:p>
    <w:bookmarkEnd w:id="9"/>
    <w:bookmarkStart w:id="10" w:name="the-setup-in-one-line"/>
    <w:p>
      <w:pPr>
        <w:pStyle w:val="Heading2"/>
      </w:pPr>
      <w:r>
        <w:t xml:space="preserve">The setup in one line</w:t>
      </w:r>
    </w:p>
    <w:p>
      <w:pPr>
        <w:pStyle w:val="FirstParagraph"/>
      </w:pPr>
      <w:r>
        <w:t xml:space="preserve">Corning has transformed from a slow-growth glass company into the market's premier "AI optical infrastructure" pure-play — and the stock's round trip this year captures both the euphoria and the vertigo. Shares have surged from ~</w:t>
      </w:r>
      <m:oMath>
        <m:r>
          <m:t>46</m:t>
        </m:r>
        <m:r>
          <m:t>a</m:t>
        </m:r>
        <m:r>
          <m:t>y</m:t>
        </m:r>
        <m:r>
          <m:t>e</m:t>
        </m:r>
        <m:r>
          <m:t>a</m:t>
        </m:r>
        <m:r>
          <m:t>r</m:t>
        </m:r>
        <m:r>
          <m:t>a</m:t>
        </m:r>
        <m:r>
          <m:t>g</m:t>
        </m:r>
        <m:r>
          <m:t>o</m:t>
        </m:r>
        <m:r>
          <m:t>t</m:t>
        </m:r>
        <m:r>
          <m:t>o</m:t>
        </m:r>
        <m:r>
          <m:t>a</m:t>
        </m:r>
        <m:r>
          <m:t>n</m:t>
        </m:r>
        <m:r>
          <m:t>a</m:t>
        </m:r>
        <m:r>
          <m:t>l</m:t>
        </m:r>
        <m:r>
          <m:t>l</m:t>
        </m:r>
        <m:r>
          <m:rPr>
            <m:sty m:val="p"/>
          </m:rPr>
          <m:t>−</m:t>
        </m:r>
        <m:r>
          <m:t>t</m:t>
        </m:r>
        <m:r>
          <m:t>i</m:t>
        </m:r>
        <m:r>
          <m:t>m</m:t>
        </m:r>
        <m:r>
          <m:t>e</m:t>
        </m:r>
        <m:r>
          <m:t>h</m:t>
        </m:r>
        <m:r>
          <m:t>i</m:t>
        </m:r>
        <m:r>
          <m:t>g</m:t>
        </m:r>
        <m:r>
          <m:t>h</m:t>
        </m:r>
        <m:r>
          <m:t>o</m:t>
        </m:r>
        <m:r>
          <m:t>f</m:t>
        </m:r>
        <m:r>
          <m:t> </m:t>
        </m:r>
      </m:oMath>
      <w:r>
        <w:t xml:space="preserve">256 in late June, then collapsed ~44% to ~$143 by July 27 in an AI-driven de-rating. Expectations going in are extremely high, and the bar for a positive surprise is correspondingly steep.</w:t>
      </w:r>
    </w:p>
    <w:p>
      <w:r>
        <w:pict>
          <v:rect style="width:0;height:1.5pt" o:hralign="center" o:hrstd="t" o:hr="t"/>
        </w:pict>
      </w:r>
    </w:p>
    <w:bookmarkEnd w:id="10"/>
    <w:bookmarkStart w:id="11" w:name="Xe869ab13ab3135e76c19fcd447ee7296a9e7856"/>
    <w:p>
      <w:pPr>
        <w:pStyle w:val="Heading2"/>
      </w:pPr>
      <w:r>
        <w:t xml:space="preserve">1. What the company already told us (Q1 print + Q2 guide)</w:t>
      </w:r>
    </w:p>
    <w:p>
      <w:pPr>
        <w:pStyle w:val="FirstParagraph"/>
      </w:pPr>
      <w:r>
        <w:t xml:space="preserve">Corning's Q1 2026 report (April 28) was strong across the board. First-quarter core sales grew 18% to $4.35 billion, and core EPS grew 30% to $0.70 versus Q1-2025, with Optical Communications sales up 36% and Solar up 80% year over year. Both the sales and EPS came in at the high end of guidance, and core operating margin expanded 220 bps to 20.2%.</w:t>
      </w:r>
    </w:p>
    <w:p>
      <w:pPr>
        <w:pStyle w:val="BodyText"/>
      </w:pPr>
      <w:r>
        <w:t xml:space="preserve">For</w:t>
      </w:r>
      <w:r>
        <w:t xml:space="preserve"> </w:t>
      </w:r>
      <w:r>
        <w:rPr>
          <w:b/>
          <w:bCs/>
        </w:rPr>
        <w:t xml:space="preserve">Q2, management guided to</w:t>
      </w:r>
      <w:r>
        <w:t xml:space="preserve">:</w:t>
      </w:r>
    </w:p>
    <w:p>
      <w:pPr>
        <w:pStyle w:val="Compact"/>
        <w:numPr>
          <w:ilvl w:val="0"/>
          <w:numId w:val="1001"/>
        </w:numPr>
      </w:pPr>
      <w:r>
        <w:t xml:space="preserve">Core sales of about $4.6 billion, up roughly 14% year over year</w:t>
      </w:r>
    </w:p>
    <w:p>
      <w:pPr>
        <w:pStyle w:val="Compact"/>
        <w:numPr>
          <w:ilvl w:val="0"/>
          <w:numId w:val="1001"/>
        </w:numPr>
      </w:pPr>
      <w:r>
        <w:t xml:space="preserve">Core EPS of</w:t>
      </w:r>
      <w:r>
        <w:t xml:space="preserve"> </w:t>
      </w:r>
      <m:oMath>
        <m:r>
          <m:t>0.73</m:t>
        </m:r>
        <m:r>
          <m:rPr>
            <m:sty m:val="p"/>
          </m:rPr>
          <m:t>–</m:t>
        </m:r>
      </m:oMath>
      <w:r>
        <w:t xml:space="preserve">0.77, up about 25% year over year</w:t>
      </w:r>
    </w:p>
    <w:p>
      <w:pPr>
        <w:pStyle w:val="FirstParagraph"/>
      </w:pPr>
      <w:r>
        <w:rPr>
          <w:b/>
          <w:bCs/>
        </w:rPr>
        <w:t xml:space="preserve">The key nuance — a self-inflicted solar drag is baked into the guide.</w:t>
      </w:r>
      <w:r>
        <w:t xml:space="preserve"> </w:t>
      </w:r>
      <w:r>
        <w:t xml:space="preserve">Q2 guidance includes an extended maintenance shutdown at Corning's solar wafer facility, including the transition to a permanent power system while it repairs, upgrades, and modifies production equipment — causing an additional $30 million of expense in Q2 versus Q1. On the call, CFO Ed Schlesinger sized the total wafer impact more bluntly: when you take the ramp drag plus the extended maintenance shutdown in aggregate, it's probably close to $0.07 of EPS in the second-quarter guide. Importantly, the shutdown also reduces sales because the plant is offline for a couple of months, and the sales guide reflects that.</w:t>
      </w:r>
    </w:p>
    <w:p>
      <w:pPr>
        <w:pStyle w:val="BodyText"/>
      </w:pPr>
      <w:r>
        <w:t xml:space="preserve">Even with that, management framed the quarter optimistically: "Even with the extended shutdown, we expect Q2 '26 to be one of the strongest quarters in a string of very strong quarters."</w:t>
      </w:r>
    </w:p>
    <w:p>
      <w:r>
        <w:pict>
          <v:rect style="width:0;height:1.5pt" o:hralign="center" o:hrstd="t" o:hr="t"/>
        </w:pict>
      </w:r>
    </w:p>
    <w:bookmarkEnd w:id="11"/>
    <w:bookmarkStart w:id="12" w:name="X77e1efc9d93c19bdc351d4819e7f955e0199acb"/>
    <w:p>
      <w:pPr>
        <w:pStyle w:val="Heading2"/>
      </w:pPr>
      <w:r>
        <w:t xml:space="preserve">2. What the Street is looking for</w:t>
      </w:r>
    </w:p>
    <w:p>
      <w:pPr>
        <w:pStyle w:val="FirstParagraph"/>
      </w:pPr>
      <w:r>
        <w:t xml:space="preserve">Per the latest news digest, Corning is scheduled to report Q2 earnings on Tuesday, July 28 before the US open; Street expectations call for total revenue growth of 14.7% to $4.63B, with Optical Communications revenue projected to grow 27.3% to $1.99B. That same digest flags the crux of the setup: sentiment is extremely bullish given powerful secular demand tailwinds in Optical Communications, though this creates a challenging setup for upside surprises.</w:t>
      </w:r>
    </w:p>
    <w:p>
      <w:pPr>
        <w:pStyle w:val="BodyText"/>
      </w:pPr>
      <w:r>
        <w:rPr>
          <w:b/>
          <w:bCs/>
        </w:rPr>
        <w:t xml:space="preserve">Watch items on the print:</w:t>
      </w:r>
    </w:p>
    <w:p>
      <w:pPr>
        <w:pStyle w:val="Compact"/>
        <w:numPr>
          <w:ilvl w:val="0"/>
          <w:numId w:val="1002"/>
        </w:numPr>
      </w:pPr>
      <w:r>
        <w:rPr>
          <w:b/>
          <w:bCs/>
        </w:rPr>
        <w:t xml:space="preserve">Optical Communications</w:t>
      </w:r>
      <w:r>
        <w:t xml:space="preserve"> </w:t>
      </w:r>
      <w:r>
        <w:t xml:space="preserve">(~</w:t>
      </w:r>
      <m:oMath>
        <m:r>
          <m:t>1.8</m:t>
        </m:r>
        <m:r>
          <m:t>B</m:t>
        </m:r>
        <m:r>
          <m:t>i</m:t>
        </m:r>
        <m:r>
          <m:t>n</m:t>
        </m:r>
        <m:r>
          <m:t>Q</m:t>
        </m:r>
        <m:r>
          <m:t>1</m:t>
        </m:r>
        <m:r>
          <m:rPr>
            <m:sty m:val="p"/>
          </m:rPr>
          <m:t>,</m:t>
        </m:r>
        <m:r>
          <m:rPr>
            <m:sty m:val="p"/>
          </m:rPr>
          <m:t>+</m:t>
        </m:r>
        <m:r>
          <m:t>36</m:t>
        </m:r>
      </m:oMath>
      <w:r>
        <w:t xml:space="preserve">1.99B. Enterprise (AI data center) is the growth engine; Carrier (fiber-to-the-home + data center interconnect) is the underappreciated second leg.</w:t>
      </w:r>
    </w:p>
    <w:p>
      <w:pPr>
        <w:pStyle w:val="Compact"/>
        <w:numPr>
          <w:ilvl w:val="0"/>
          <w:numId w:val="1002"/>
        </w:numPr>
      </w:pPr>
      <w:r>
        <w:rPr>
          <w:b/>
          <w:bCs/>
        </w:rPr>
        <w:t xml:space="preserve">EPS vs. the</w:t>
      </w:r>
      <w:r>
        <w:rPr>
          <w:b/>
          <w:bCs/>
        </w:rPr>
        <w:t xml:space="preserve"> </w:t>
      </w:r>
      <m:oMath>
        <m:r>
          <m:t>0.73</m:t>
        </m:r>
        <m:r>
          <m:rPr>
            <m:sty m:val="p"/>
          </m:rPr>
          <m:t>–</m:t>
        </m:r>
      </m:oMath>
      <w:r>
        <w:rPr>
          <w:b/>
          <w:bCs/>
        </w:rPr>
        <w:t xml:space="preserve">0.77 range</w:t>
      </w:r>
      <w:r>
        <w:t xml:space="preserve"> </w:t>
      </w:r>
      <w:r>
        <w:t xml:space="preserve">— a beat likely requires Optical strength plus better-than-feared solar wafer drag.</w:t>
      </w:r>
    </w:p>
    <w:p>
      <w:pPr>
        <w:pStyle w:val="Compact"/>
        <w:numPr>
          <w:ilvl w:val="0"/>
          <w:numId w:val="1002"/>
        </w:numPr>
      </w:pPr>
      <w:r>
        <w:rPr>
          <w:b/>
          <w:bCs/>
        </w:rPr>
        <w:t xml:space="preserve">Glass Innovations</w:t>
      </w:r>
      <w:r>
        <w:t xml:space="preserve"> </w:t>
      </w:r>
      <w:r>
        <w:t xml:space="preserve">— watch for commentary on memory-price pressure on smartphones/IT. Management already warned they expect memory prices to significantly impact the market in 2026, but expect to outperform driven by demand for their innovations.</w:t>
      </w:r>
    </w:p>
    <w:p>
      <w:pPr>
        <w:pStyle w:val="Compact"/>
        <w:numPr>
          <w:ilvl w:val="0"/>
          <w:numId w:val="1002"/>
        </w:numPr>
      </w:pPr>
      <w:r>
        <w:rPr>
          <w:b/>
          <w:bCs/>
        </w:rPr>
        <w:t xml:space="preserve">Solar wafer restart</w:t>
      </w:r>
      <w:r>
        <w:t xml:space="preserve"> </w:t>
      </w:r>
      <w:r>
        <w:t xml:space="preserve">— any read on when the facility comes back and margins normalize.</w:t>
      </w:r>
    </w:p>
    <w:p>
      <w:r>
        <w:pict>
          <v:rect style="width:0;height:1.5pt" o:hralign="center" o:hrstd="t" o:hr="t"/>
        </w:pict>
      </w:r>
    </w:p>
    <w:bookmarkEnd w:id="12"/>
    <w:bookmarkStart w:id="13" w:name="Xb56f60c4f2a5431e17dcf26eb61971a7de60488"/>
    <w:p>
      <w:pPr>
        <w:pStyle w:val="Heading2"/>
      </w:pPr>
      <w:r>
        <w:t xml:space="preserve">3. The bull thesis: an AI content story getting bigger every quarter</w:t>
      </w:r>
    </w:p>
    <w:p>
      <w:pPr>
        <w:pStyle w:val="FirstParagraph"/>
      </w:pPr>
      <w:r>
        <w:t xml:space="preserve">Since Q1, the AI-connectivity narrative has escalated dramatically:</w:t>
      </w:r>
    </w:p>
    <w:p>
      <w:pPr>
        <w:pStyle w:val="BodyText"/>
      </w:pPr>
      <w:r>
        <w:rPr>
          <w:b/>
          <w:bCs/>
        </w:rPr>
        <w:t xml:space="preserve">Long-term hyperscaler agreements.</w:t>
      </w:r>
      <w:r>
        <w:t xml:space="preserve"> </w:t>
      </w:r>
      <w:r>
        <w:t xml:space="preserve">On top of the previously announced multiyear, up-to-$6 billion agreement with Meta, management disclosed that two additional hyperscale customers entered into large, long-term agreements similar in size and duration to the Meta deal. Those "unnamed" customers have since materialized publicly:</w:t>
      </w:r>
    </w:p>
    <w:p>
      <w:pPr>
        <w:pStyle w:val="Compact"/>
        <w:numPr>
          <w:ilvl w:val="0"/>
          <w:numId w:val="1003"/>
        </w:numPr>
      </w:pPr>
      <w:r>
        <w:rPr>
          <w:b/>
          <w:bCs/>
        </w:rPr>
        <w:t xml:space="preserve">Nvidia partnership (May 6):</w:t>
      </w:r>
      <w:r>
        <w:t xml:space="preserve"> </w:t>
      </w:r>
      <w:r>
        <w:t xml:space="preserve">Nvidia is investing $500 million in Corning as part of a partnership to expand fiber-optic manufacturing for AI infrastructure; Corning will boost U.S. optical connectivity manufacturing capacity tenfold and expand U.S. fiber production capacity by more than 50%, including three new plants in North Carolina and Texas. Nvidia bought $500 million of warrants, acquiring rights to as many as 15 million shares at an exercise price of $180.</w:t>
      </w:r>
    </w:p>
    <w:p>
      <w:pPr>
        <w:pStyle w:val="Compact"/>
        <w:numPr>
          <w:ilvl w:val="0"/>
          <w:numId w:val="1003"/>
        </w:numPr>
      </w:pPr>
      <w:r>
        <w:rPr>
          <w:b/>
          <w:bCs/>
        </w:rPr>
        <w:t xml:space="preserve">Amazon deal (June 8):</w:t>
      </w:r>
      <w:r>
        <w:t xml:space="preserve"> </w:t>
      </w:r>
      <w:r>
        <w:t xml:space="preserve">Amazon and Corning signed a multi-billion-dollar deal to boost U.S. fiber-optics manufacturing for data centers, sending Corning shares up ~9%.</w:t>
      </w:r>
    </w:p>
    <w:p>
      <w:pPr>
        <w:pStyle w:val="FirstParagraph"/>
      </w:pPr>
      <w:r>
        <w:rPr>
          <w:b/>
          <w:bCs/>
        </w:rPr>
        <w:t xml:space="preserve">The upgraded Springboard plan (May 6 Investor Day).</w:t>
      </w:r>
      <w:r>
        <w:t xml:space="preserve"> </w:t>
      </w:r>
      <w:r>
        <w:t xml:space="preserve">Corning materially raised its long-term targets: it upgraded its plan to reach a $30 billion run rate by the end of 2028 and to become a $40 billion company by the end of 2030 — a $27 billion "spring" from the start of Springboard. On growth: the company delivered a 15% CAGR in the first phase of Springboard and, entering 2027, expects to grow at a 19% CAGR — a 400 bps acceleration. It also framed a</w:t>
      </w:r>
      <w:r>
        <w:t xml:space="preserve"> </w:t>
      </w:r>
      <w:r>
        <w:rPr>
          <w:b/>
          <w:bCs/>
        </w:rPr>
        <w:t xml:space="preserve">high-confidence</w:t>
      </w:r>
      <w:r>
        <w:t xml:space="preserve"> </w:t>
      </w:r>
      <w:r>
        <w:t xml:space="preserve">(risk-adjusted) plan of a $27 billion run rate by end-2028 and $35 billion by end-2030 — meaning "double the company" even under the conservative case.</w:t>
      </w:r>
    </w:p>
    <w:p>
      <w:pPr>
        <w:pStyle w:val="BodyText"/>
      </w:pPr>
      <w:r>
        <w:rPr>
          <w:b/>
          <w:bCs/>
        </w:rPr>
        <w:t xml:space="preserve">Content-per-GPU is the mechanism.</w:t>
      </w:r>
      <w:r>
        <w:t xml:space="preserve"> </w:t>
      </w:r>
      <w:r>
        <w:t xml:space="preserve">The bull math rests on Corning growing faster than GPU units: technical drivers behind scale-out and scale-up create an opportunity for Corning to grow its Enterprise segment 1.3 to 1.5x faster than GPU growth, with a brand-new</w:t>
      </w:r>
      <w:r>
        <w:t xml:space="preserve"> </w:t>
      </w:r>
      <w:r>
        <w:rPr>
          <w:b/>
          <w:bCs/>
        </w:rPr>
        <w:t xml:space="preserve">Photonics</w:t>
      </w:r>
      <w:r>
        <w:t xml:space="preserve"> </w:t>
      </w:r>
      <w:r>
        <w:t xml:space="preserve">platform (co-packaged/near-packaged optics, "inside the box") that could add an incremental $10 billion of revenue by 2030.</w:t>
      </w:r>
    </w:p>
    <w:p>
      <w:pPr>
        <w:pStyle w:val="BodyText"/>
      </w:pPr>
      <w:r>
        <w:rPr>
          <w:b/>
          <w:bCs/>
        </w:rPr>
        <w:t xml:space="preserve">Margin/returns quality.</w:t>
      </w:r>
      <w:r>
        <w:t xml:space="preserve"> </w:t>
      </w:r>
      <w:r>
        <w:t xml:space="preserve">Management believes Optical's economics can eventually rival its crown-jewel display business — CEO Weeks said return on invested capital in Optical could exceed the glass businesses, since Optical is less capital-intense than display — and reiterated it can run at or above a 20% operating margin even while investing, with ROIC improving into the high teens and free cash flow growing as sales grow.</w:t>
      </w:r>
    </w:p>
    <w:p>
      <w:r>
        <w:pict>
          <v:rect style="width:0;height:1.5pt" o:hralign="center" o:hrstd="t" o:hr="t"/>
        </w:pict>
      </w:r>
    </w:p>
    <w:bookmarkEnd w:id="13"/>
    <w:bookmarkStart w:id="14" w:name="Xbae93fd7c3023d792c6811014bf060e9a165aa7"/>
    <w:p>
      <w:pPr>
        <w:pStyle w:val="Heading2"/>
      </w:pPr>
      <w:r>
        <w:t xml:space="preserve">4. The bear/risk case — why the stock fell 44% from its peak</w:t>
      </w:r>
    </w:p>
    <w:p>
      <w:pPr>
        <w:pStyle w:val="FirstParagraph"/>
      </w:pPr>
      <w:r>
        <w:t xml:space="preserve">The pullback wasn't company-specific bad news; it was an</w:t>
      </w:r>
      <w:r>
        <w:t xml:space="preserve"> </w:t>
      </w:r>
      <w:r>
        <w:rPr>
          <w:b/>
          <w:bCs/>
        </w:rPr>
        <w:t xml:space="preserve">AI-trade de-rating on a very expensive, very crowded stock.</w:t>
      </w:r>
      <w:r>
        <w:t xml:space="preserve"> </w:t>
      </w:r>
      <w:r>
        <w:t xml:space="preserve">In early July, Corning stock declined 24% over a four-day losing streak, wiping out $52.4 billion in market value amid a broader AI-trade selloff. Notably, sell-side analysts used the drop to reiterate bullishness — Oppenheimer raised its target to $230 and BofA to $243, both viewing the decline as an attractive entry point given optical-fiber deals with Amazon, Nvidia, and Meta.</w:t>
      </w:r>
    </w:p>
    <w:p>
      <w:pPr>
        <w:pStyle w:val="BodyText"/>
      </w:pPr>
      <w:r>
        <w:t xml:space="preserve">Key risks to weigh into the print:</w:t>
      </w:r>
    </w:p>
    <w:p>
      <w:pPr>
        <w:pStyle w:val="Compact"/>
        <w:numPr>
          <w:ilvl w:val="0"/>
          <w:numId w:val="1004"/>
        </w:numPr>
      </w:pPr>
      <w:r>
        <w:rPr>
          <w:b/>
          <w:bCs/>
        </w:rPr>
        <w:t xml:space="preserve">Valuation &amp; expectations.</w:t>
      </w:r>
      <w:r>
        <w:t xml:space="preserve"> </w:t>
      </w:r>
      <w:r>
        <w:t xml:space="preserve">With a ~</w:t>
      </w:r>
      <m:oMath>
        <m:r>
          <m:t>3</m:t>
        </m:r>
        <m:r>
          <m:t>c</m:t>
        </m:r>
        <m:r>
          <m:t>o</m:t>
        </m:r>
        <m:r>
          <m:t>r</m:t>
        </m:r>
        <m:r>
          <m:t>e</m:t>
        </m:r>
        <m:r>
          <m:t>E</m:t>
        </m:r>
        <m:r>
          <m:t>P</m:t>
        </m:r>
        <m:r>
          <m:t>S</m:t>
        </m:r>
        <m:r>
          <m:t>r</m:t>
        </m:r>
        <m:r>
          <m:t>u</m:t>
        </m:r>
        <m:r>
          <m:t>n</m:t>
        </m:r>
        <m:r>
          <m:rPr>
            <m:sty m:val="p"/>
          </m:rPr>
          <m:t>−</m:t>
        </m:r>
        <m:r>
          <m:t>r</m:t>
        </m:r>
        <m:r>
          <m:t>a</m:t>
        </m:r>
        <m:r>
          <m:t>t</m:t>
        </m:r>
        <m:r>
          <m:t>e</m:t>
        </m:r>
        <m:r>
          <m:rPr>
            <m:sty m:val="p"/>
          </m:rPr>
          <m:t>,</m:t>
        </m:r>
        <m:r>
          <m:t> </m:t>
        </m:r>
      </m:oMath>
      <w:r>
        <w:t xml:space="preserve">143 implies a high-40s P/E — expensive for a materials company, and it now trades as an AI derivative. As the digest warned, the bullish setup makes upside surprises hard to deliver.</w:t>
      </w:r>
    </w:p>
    <w:p>
      <w:pPr>
        <w:pStyle w:val="Compact"/>
        <w:numPr>
          <w:ilvl w:val="0"/>
          <w:numId w:val="1004"/>
        </w:numPr>
      </w:pPr>
      <w:r>
        <w:rPr>
          <w:b/>
          <w:bCs/>
        </w:rPr>
        <w:t xml:space="preserve">Timing risk on the biggest growth drivers.</w:t>
      </w:r>
      <w:r>
        <w:t xml:space="preserve"> </w:t>
      </w:r>
      <w:r>
        <w:t xml:space="preserve">Management itself repeatedly flagged that</w:t>
      </w:r>
      <w:r>
        <w:t xml:space="preserve"> </w:t>
      </w:r>
      <w:r>
        <w:rPr>
          <w:b/>
          <w:bCs/>
        </w:rPr>
        <w:t xml:space="preserve">scale-up optical and co-packaged optics timing is highly uncertain.</w:t>
      </w:r>
      <w:r>
        <w:t xml:space="preserve"> </w:t>
      </w:r>
      <w:r>
        <w:t xml:space="preserve">Corning's own view is that optical scale-up adoption begins to accelerate only in the 2028–2030 window, and the difference between the internal and high-confidence plans is largely this timing — $5 billion was taken out of 2030 sales and $3 billion out of 2028 in the high-confidence plan. Bloomberg Intelligence similarly assessed the scale-up ramp probably won't start until 2027–2028.</w:t>
      </w:r>
    </w:p>
    <w:p>
      <w:pPr>
        <w:pStyle w:val="Compact"/>
        <w:numPr>
          <w:ilvl w:val="0"/>
          <w:numId w:val="1004"/>
        </w:numPr>
      </w:pPr>
      <w:r>
        <w:rPr>
          <w:b/>
          <w:bCs/>
        </w:rPr>
        <w:t xml:space="preserve">Solar execution.</w:t>
      </w:r>
      <w:r>
        <w:t xml:space="preserve"> </w:t>
      </w:r>
      <w:r>
        <w:t xml:space="preserve">The wafer ramp is the messiest part of the story and the direct cause of the near-term EPS/sales drag; a slipping restart timeline would be a negative.</w:t>
      </w:r>
    </w:p>
    <w:p>
      <w:pPr>
        <w:pStyle w:val="Compact"/>
        <w:numPr>
          <w:ilvl w:val="0"/>
          <w:numId w:val="1004"/>
        </w:numPr>
      </w:pPr>
      <w:r>
        <w:rPr>
          <w:b/>
          <w:bCs/>
        </w:rPr>
        <w:t xml:space="preserve">Insider selling.</w:t>
      </w:r>
      <w:r>
        <w:t xml:space="preserve"> </w:t>
      </w:r>
      <w:r>
        <w:t xml:space="preserve">Around the May Investor Day, several executives sold, including Vice Chairman Lewis Steverson selling ~$5.4M (50% of holdings) and other officers trimming positions — worth noting given the stock's run (though partly RSU/10b5-1 driven).</w:t>
      </w:r>
    </w:p>
    <w:p>
      <w:pPr>
        <w:pStyle w:val="Compact"/>
        <w:numPr>
          <w:ilvl w:val="0"/>
          <w:numId w:val="1004"/>
        </w:numPr>
      </w:pPr>
      <w:r>
        <w:rPr>
          <w:b/>
          <w:bCs/>
        </w:rPr>
        <w:t xml:space="preserve">Customer concentration &amp; commodity pricing.</w:t>
      </w:r>
      <w:r>
        <w:t xml:space="preserve"> </w:t>
      </w:r>
      <w:r>
        <w:t xml:space="preserve">The story now hinges on a handful of hyperscalers; management is deliberately trying to stay balanced so as not to depend on any one model maker or AI cloud provider.</w:t>
      </w:r>
    </w:p>
    <w:p>
      <w:r>
        <w:pict>
          <v:rect style="width:0;height:1.5pt" o:hralign="center" o:hrstd="t" o:hr="t"/>
        </w:pict>
      </w:r>
    </w:p>
    <w:bookmarkEnd w:id="14"/>
    <w:bookmarkStart w:id="15" w:name="Xe25095167f8ad140121a8b44f393f0f6fa7e96c"/>
    <w:p>
      <w:pPr>
        <w:pStyle w:val="Heading2"/>
      </w:pPr>
      <w:r>
        <w:t xml:space="preserve">5. What matters most on the call</w:t>
      </w:r>
    </w:p>
    <w:p>
      <w:pPr>
        <w:pStyle w:val="Compact"/>
        <w:numPr>
          <w:ilvl w:val="0"/>
          <w:numId w:val="1005"/>
        </w:numPr>
      </w:pPr>
      <w:r>
        <w:rPr>
          <w:b/>
          <w:bCs/>
        </w:rPr>
        <w:t xml:space="preserve">Optical growth rate &amp; the enterprise/carrier split</w:t>
      </w:r>
      <w:r>
        <w:t xml:space="preserve"> </w:t>
      </w:r>
      <w:r>
        <w:t xml:space="preserve">— did Optical hit/beat ~$1.99B, and is enterprise still compounding ~30%+?</w:t>
      </w:r>
    </w:p>
    <w:p>
      <w:pPr>
        <w:pStyle w:val="Compact"/>
        <w:numPr>
          <w:ilvl w:val="0"/>
          <w:numId w:val="1005"/>
        </w:numPr>
      </w:pPr>
      <w:r>
        <w:rPr>
          <w:b/>
          <w:bCs/>
        </w:rPr>
        <w:t xml:space="preserve">Any Q3/full-year color or a raised framework</w:t>
      </w:r>
      <w:r>
        <w:t xml:space="preserve"> </w:t>
      </w:r>
      <w:r>
        <w:t xml:space="preserve">— after three straight beats and a hugely raised long-term plan, does the near-term guide keep pace?</w:t>
      </w:r>
    </w:p>
    <w:p>
      <w:pPr>
        <w:pStyle w:val="Compact"/>
        <w:numPr>
          <w:ilvl w:val="0"/>
          <w:numId w:val="1005"/>
        </w:numPr>
      </w:pPr>
      <w:r>
        <w:rPr>
          <w:b/>
          <w:bCs/>
        </w:rPr>
        <w:t xml:space="preserve">Solar wafer restart timing</w:t>
      </w:r>
      <w:r>
        <w:t xml:space="preserve"> </w:t>
      </w:r>
      <w:r>
        <w:t xml:space="preserve">— confirmation the</w:t>
      </w:r>
      <w:r>
        <w:t xml:space="preserve"> </w:t>
      </w:r>
      <m:oMath>
        <m:r>
          <m:t>30</m:t>
        </m:r>
        <m:r>
          <m:t>M</m:t>
        </m:r>
        <m:r>
          <m:rPr>
            <m:sty m:val="p"/>
          </m:rPr>
          <m:t>/</m:t>
        </m:r>
      </m:oMath>
      <w:r>
        <w:t xml:space="preserve">0.07 drag is one-time-ish and margins recover in H2.</w:t>
      </w:r>
    </w:p>
    <w:p>
      <w:pPr>
        <w:pStyle w:val="Compact"/>
        <w:numPr>
          <w:ilvl w:val="0"/>
          <w:numId w:val="1005"/>
        </w:numPr>
      </w:pPr>
      <w:r>
        <w:rPr>
          <w:b/>
          <w:bCs/>
        </w:rPr>
        <w:t xml:space="preserve">New hyperscaler/OEM agreements or CapEx updates</w:t>
      </w:r>
      <w:r>
        <w:t xml:space="preserve"> </w:t>
      </w:r>
      <w:r>
        <w:t xml:space="preserve">— management said CapEx could run a bit above the ~$1.7B guide, with risk-sharing agreements funding much of the expansion. Watch for confirmation that free cash flow still grows through the investment cycle.</w:t>
      </w:r>
    </w:p>
    <w:p>
      <w:pPr>
        <w:pStyle w:val="Compact"/>
        <w:numPr>
          <w:ilvl w:val="0"/>
          <w:numId w:val="1005"/>
        </w:numPr>
      </w:pPr>
      <w:r>
        <w:rPr>
          <w:b/>
          <w:bCs/>
        </w:rPr>
        <w:t xml:space="preserve">Photonics/CPO commentary</w:t>
      </w:r>
      <w:r>
        <w:t xml:space="preserve"> </w:t>
      </w:r>
      <w:r>
        <w:t xml:space="preserve">— any pull-forward of the scale-up timeline would be the single biggest bullish catalyst; any push-out, the biggest risk.</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Corning enters this print with genuinely excellent fundamental momentum — eight-plus straight quarters of double-digit growth, an Optical business inflecting on AI, and a credibly upgraded plan to roughly double the company by 2030. But after a parabolic run and a violent 44% correction, this is now a</w:t>
      </w:r>
      <w:r>
        <w:t xml:space="preserve"> </w:t>
      </w:r>
      <w:r>
        <w:rPr>
          <w:b/>
          <w:bCs/>
        </w:rPr>
        <w:t xml:space="preserve">sentiment and expectations story</w:t>
      </w:r>
      <w:r>
        <w:t xml:space="preserve"> </w:t>
      </w:r>
      <w:r>
        <w:t xml:space="preserve">as much as a fundamentals one. The numbers themselves (guided +14% sales, +25% EPS, with a known ~$0.07 solar drag) look very achievable; the harder question is whether an in-line beat is enough for a stock that had priced in near-perfection. Watch Optical revenue, solar-restart timing, and — above all — any change in the</w:t>
      </w:r>
      <w:r>
        <w:t xml:space="preserve"> </w:t>
      </w:r>
      <w:r>
        <w:rPr>
          <w:i/>
          <w:iCs/>
        </w:rPr>
        <w:t xml:space="preserve">timing</w:t>
      </w:r>
      <w:r>
        <w:t xml:space="preserve"> </w:t>
      </w:r>
      <w:r>
        <w:t xml:space="preserve">language on optical scale-up and co-packaged optics.</w:t>
      </w:r>
    </w:p>
    <w:p>
      <w:pPr>
        <w:pStyle w:val="BodyText"/>
      </w:pPr>
      <w:r>
        <w:rPr>
          <w:i/>
          <w:iCs/>
        </w:rPr>
        <w:t xml:space="preserve">Note: "core" figures are Corning's non-GAAP measures (excluding constant-currency and certain non-cash/one-time items). Prices referenced are through July 27, 2026.</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2026-07-28T00:26:17Z</dcterms:created>
  <dcterms:modified xsi:type="dcterms:W3CDTF">2026-07-28T00:26:17Z</dcterms:modified>
</cp:coreProperties>
</file>

<file path=docProps/custom.xml><?xml version="1.0" encoding="utf-8"?>
<Properties xmlns="http://schemas.openxmlformats.org/officeDocument/2006/custom-properties" xmlns:vt="http://schemas.openxmlformats.org/officeDocument/2006/docPropsVTypes"/>
</file>