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Corning (GLW) ahead of its earnings report. Let me gather recent financial documents, news, and market data.Let me get more detail from the Investor Day (Springboard update) and check recent stock price performance and additional news.The stock has seen extreme volatility. Let me investigate what drove the sharp decline from ~</w:t>
      </w:r>
      <m:oMath>
        <m:r>
          <m:t>255</m:t>
        </m:r>
        <m:r>
          <m:rPr>
            <m:sty m:val="p"/>
          </m:rPr>
          <m:t>(</m:t>
        </m:r>
        <m:r>
          <m:t>l</m:t>
        </m:r>
        <m:r>
          <m:t>a</m:t>
        </m:r>
        <m:r>
          <m:t>t</m:t>
        </m:r>
        <m:r>
          <m:t>e</m:t>
        </m:r>
        <m:r>
          <m:t>J</m:t>
        </m:r>
        <m:r>
          <m:t>u</m:t>
        </m:r>
        <m:r>
          <m:t>n</m:t>
        </m:r>
        <m:r>
          <m:t>e</m:t>
        </m:r>
        <m:r>
          <m:rPr>
            <m:sty m:val="p"/>
          </m:rPr>
          <m:t>)</m:t>
        </m:r>
        <m:r>
          <m:t>t</m:t>
        </m:r>
        <m:r>
          <m:t>o</m:t>
        </m:r>
        <m:r>
          <m:t> </m:t>
        </m:r>
      </m:oMath>
      <w:r>
        <w:t xml:space="preserve">143 now, and check for any additional recent GLW-specific news.Let me get a couple more data points — analyst EPS consensus and confirm price target/rating context.# Corning Incorporated (GLW) — Q2 2026 Earnings Preview</w:t>
      </w:r>
      <w:r>
        <w:t xml:space="preserve"> </w:t>
      </w:r>
      <w:r>
        <w:rPr>
          <w:b/>
          <w:bCs/>
        </w:rPr>
        <w:t xml:space="preserve">Reports: Tuesday, July 28, 2026, before market open | Event: 2026Q2 Earnings Call</w:t>
      </w:r>
    </w:p>
    <w:p>
      <w:r>
        <w:pict>
          <v:rect style="width:0;height:1.5pt" o:hralign="center" o:hrstd="t" o:hr="t"/>
        </w:pict>
      </w:r>
    </w:p>
    <w:bookmarkStart w:id="9" w:name="X5c51d4b4055716ed647ad23f771eb933a275f49"/>
    <w:p>
      <w:pPr>
        <w:pStyle w:val="Heading2"/>
      </w:pPr>
      <w:r>
        <w:t xml:space="preserve">1. The Setup: A Volatile Run Into the Print</w:t>
      </w:r>
    </w:p>
    <w:p>
      <w:pPr>
        <w:pStyle w:val="FirstParagraph"/>
      </w:pPr>
      <w:r>
        <w:t xml:space="preserve">Corning heads into this print after one of the wildest 12-month stretches in its 175-year history. The stock rallied from roughly $90 in early January to an intraday peak near $255 in late June — fueled by blowout Optical Communications growth, a string of hyperscaler mega-deals, a Springboard plan upgrade, and a headline-grabbing NVIDIA partnership announced at the company's May 6 investor day. Since then, GLW has given back a stunning ~44% of that gain, closing around $143 on July 27, caught up in a broader de-rating of AI-capex-linked names (chip-equipment stocks like ASML selling off on Chinese competition fears, memory-cost inflation, and growing investor scrutiny of returns on hyperscaler AI spending).</w:t>
      </w:r>
    </w:p>
    <w:p>
      <w:pPr>
        <w:pStyle w:val="BodyText"/>
      </w:pPr>
      <w:r>
        <w:t xml:space="preserve">Even after the pullback, GLW is still up dramatically over the past year, and sentiment remains skewed bullish given the durability of the Optical Communications demand story — a dynamic that, as one market summary framed it, creates "a challenging setup for upside surprises" because so much good news is already expected. Wall Street remains constructive overall: GLW carries a "Moderate Buy" consensus, with analysts skewed toward "Strong Buy," though the average price target sits roughly in line with pre-selloff levels (~$204–217), implying the recent drawdown has already closed some of the gap between price and target.</w:t>
      </w:r>
    </w:p>
    <w:bookmarkEnd w:id="9"/>
    <w:bookmarkStart w:id="10" w:name="Xf0e7c244795945b1de1c235d5a19ec7429f7c1b"/>
    <w:p>
      <w:pPr>
        <w:pStyle w:val="Heading2"/>
      </w:pPr>
      <w:r>
        <w:t xml:space="preserve">2. Consensus Expectations</w:t>
      </w:r>
    </w:p>
    <w:p>
      <w:pPr>
        <w:pStyle w:val="Compact"/>
        <w:numPr>
          <w:ilvl w:val="0"/>
          <w:numId w:val="1001"/>
        </w:numPr>
      </w:pPr>
      <w:r>
        <w:rPr>
          <w:b/>
          <w:bCs/>
        </w:rPr>
        <w:t xml:space="preserve">Revenue:</w:t>
      </w:r>
      <w:r>
        <w:t xml:space="preserve"> </w:t>
      </w:r>
      <w:r>
        <w:t xml:space="preserve">~$4.6–4.67B, up roughly 14–15% year-over-year (company's own guidance calls for "about 14%" growth to approximately $4.6 billion)</w:t>
      </w:r>
    </w:p>
    <w:p>
      <w:pPr>
        <w:pStyle w:val="Compact"/>
        <w:numPr>
          <w:ilvl w:val="0"/>
          <w:numId w:val="1001"/>
        </w:numPr>
      </w:pPr>
      <w:r>
        <w:rPr>
          <w:b/>
          <w:bCs/>
        </w:rPr>
        <w:t xml:space="preserve">Core EPS:</w:t>
      </w:r>
      <w:r>
        <w:t xml:space="preserve"> </w:t>
      </w:r>
      <w:r>
        <w:t xml:space="preserve">Consensus sits at</w:t>
      </w:r>
      <w:r>
        <w:t xml:space="preserve"> </w:t>
      </w:r>
      <m:oMath>
        <m:r>
          <m:t>0.76</m:t>
        </m:r>
        <m:r>
          <m:rPr>
            <m:sty m:val="p"/>
          </m:rPr>
          <m:t>*</m:t>
        </m:r>
        <m:r>
          <m:rPr>
            <m:sty m:val="p"/>
          </m:rPr>
          <m:t>*</m:t>
        </m:r>
        <m:r>
          <m:rPr>
            <m:sty m:val="p"/>
          </m:rPr>
          <m:t>,</m:t>
        </m:r>
        <m:r>
          <m:t>n</m:t>
        </m:r>
        <m:r>
          <m:t>e</m:t>
        </m:r>
        <m:r>
          <m:t>a</m:t>
        </m:r>
        <m:r>
          <m:t>r</m:t>
        </m:r>
        <m:r>
          <m:t>t</m:t>
        </m:r>
        <m:r>
          <m:t>h</m:t>
        </m:r>
        <m:r>
          <m:t>e</m:t>
        </m:r>
        <m:r>
          <m:t>t</m:t>
        </m:r>
        <m:r>
          <m:t>o</m:t>
        </m:r>
        <m:r>
          <m:t>p</m:t>
        </m:r>
        <m:r>
          <m:t>o</m:t>
        </m:r>
        <m:r>
          <m:t>f</m:t>
        </m:r>
        <m:r>
          <m:t>m</m:t>
        </m:r>
        <m:r>
          <m:t>a</m:t>
        </m:r>
        <m:r>
          <m:t>n</m:t>
        </m:r>
        <m:r>
          <m:t>a</m:t>
        </m:r>
        <m:r>
          <m:t>g</m:t>
        </m:r>
        <m:r>
          <m:t>e</m:t>
        </m:r>
        <m:r>
          <m:t>m</m:t>
        </m:r>
        <m:r>
          <m:t>e</m:t>
        </m:r>
        <m:r>
          <m:t>n</m:t>
        </m:r>
        <m:sSup>
          <m:e>
            <m:r>
              <m:t>t</m:t>
            </m:r>
          </m:e>
          <m:sup>
            <m:r>
              <m:rPr>
                <m:sty m:val="p"/>
              </m:rPr>
              <m:t>′</m:t>
            </m:r>
          </m:sup>
        </m:sSup>
        <m:r>
          <m:t>s</m:t>
        </m:r>
        <m:r>
          <m:t>g</m:t>
        </m:r>
        <m:r>
          <m:t>u</m:t>
        </m:r>
        <m:r>
          <m:t>i</m:t>
        </m:r>
        <m:r>
          <m:t>d</m:t>
        </m:r>
        <m:r>
          <m:t>e</m:t>
        </m:r>
        <m:r>
          <m:t>d</m:t>
        </m:r>
        <m:r>
          <m:t>r</m:t>
        </m:r>
        <m:r>
          <m:t>a</m:t>
        </m:r>
        <m:r>
          <m:t>n</m:t>
        </m:r>
        <m:r>
          <m:t>g</m:t>
        </m:r>
        <m:r>
          <m:t>e</m:t>
        </m:r>
        <m:r>
          <m:t>o</m:t>
        </m:r>
        <m:r>
          <m:t>f</m:t>
        </m:r>
        <m:r>
          <m:rPr>
            <m:sty m:val="p"/>
          </m:rPr>
          <m:t>*</m:t>
        </m:r>
        <m:r>
          <m:rPr>
            <m:sty m:val="p"/>
          </m:rPr>
          <m:t>*</m:t>
        </m:r>
      </m:oMath>
      <w:r>
        <w:rPr>
          <w:b/>
          <w:bCs/>
        </w:rPr>
        <w:t xml:space="preserve">0.73–$0.77</w:t>
      </w:r>
      <w:r>
        <w:t xml:space="preserve">, and up ~26–27% year-over-year</w:t>
      </w:r>
    </w:p>
    <w:p>
      <w:pPr>
        <w:pStyle w:val="Compact"/>
        <w:numPr>
          <w:ilvl w:val="0"/>
          <w:numId w:val="1001"/>
        </w:numPr>
      </w:pPr>
      <w:r>
        <w:rPr>
          <w:b/>
          <w:bCs/>
        </w:rPr>
        <w:t xml:space="preserve">Optical Communications revenue:</w:t>
      </w:r>
      <w:r>
        <w:t xml:space="preserve"> </w:t>
      </w:r>
      <w:r>
        <w:t xml:space="preserve">Consensus near $1.94–1.99B, up ~25–27% y/y, still the primary growth engine</w:t>
      </w:r>
    </w:p>
    <w:p>
      <w:pPr>
        <w:pStyle w:val="Compact"/>
        <w:numPr>
          <w:ilvl w:val="0"/>
          <w:numId w:val="1001"/>
        </w:numPr>
      </w:pPr>
      <w:r>
        <w:rPr>
          <w:b/>
          <w:bCs/>
        </w:rPr>
        <w:t xml:space="preserve">Automotive:</w:t>
      </w:r>
      <w:r>
        <w:t xml:space="preserve"> </w:t>
      </w:r>
      <w:r>
        <w:t xml:space="preserve">Expected roughly flat to slightly down, consistent with soft global vehicle demand</w:t>
      </w:r>
    </w:p>
    <w:p>
      <w:pPr>
        <w:pStyle w:val="Compact"/>
        <w:numPr>
          <w:ilvl w:val="0"/>
          <w:numId w:val="1001"/>
        </w:numPr>
      </w:pPr>
      <w:r>
        <w:t xml:space="preserve">Corning has beaten Street EPS expectations in each of the last four quarters, with an average surprise near +2.4%, though some models (e.g., Zacks' proprietary Earnings ESP) do not conclusively predict a beat this quarter — a signal that the bar has been raised.</w:t>
      </w:r>
    </w:p>
    <w:bookmarkEnd w:id="10"/>
    <w:bookmarkStart w:id="11" w:name="X27626195b829695acc17cdd21c634adcda50d79"/>
    <w:p>
      <w:pPr>
        <w:pStyle w:val="Heading2"/>
      </w:pPr>
      <w:r>
        <w:t xml:space="preserve">3. Q1 2026 Recap — Setting the Baseline</w:t>
      </w:r>
    </w:p>
    <w:p>
      <w:pPr>
        <w:pStyle w:val="FirstParagraph"/>
      </w:pPr>
      <w:r>
        <w:t xml:space="preserve">Corning's Q1 print (April 28) was strong across the board:</w:t>
      </w:r>
    </w:p>
    <w:p>
      <w:pPr>
        <w:pStyle w:val="Compact"/>
        <w:numPr>
          <w:ilvl w:val="0"/>
          <w:numId w:val="1002"/>
        </w:numPr>
      </w:pPr>
      <w:r>
        <w:t xml:space="preserve">Core sales grew 18% y/y to $4.35B; core EPS grew 30% to $0.70, both at the high end of guidance</w:t>
      </w:r>
    </w:p>
    <w:p>
      <w:pPr>
        <w:pStyle w:val="Compact"/>
        <w:numPr>
          <w:ilvl w:val="0"/>
          <w:numId w:val="1002"/>
        </w:numPr>
      </w:pPr>
      <w:r>
        <w:t xml:space="preserve">Core operating margin expanded 220 bps to 20.2%; core ROIC rose to 13.5%</w:t>
      </w:r>
    </w:p>
    <w:p>
      <w:pPr>
        <w:pStyle w:val="Compact"/>
        <w:numPr>
          <w:ilvl w:val="0"/>
          <w:numId w:val="1002"/>
        </w:numPr>
      </w:pPr>
      <w:r>
        <w:t xml:space="preserve">Optical Communications sales jumped 36% y/y to $1.85B on Gen AI-driven demand, with both Enterprise and Carrier up 36%</w:t>
      </w:r>
    </w:p>
    <w:p>
      <w:pPr>
        <w:pStyle w:val="Compact"/>
        <w:numPr>
          <w:ilvl w:val="0"/>
          <w:numId w:val="1002"/>
        </w:numPr>
      </w:pPr>
      <w:r>
        <w:t xml:space="preserve">Solar sales rose 80% y/y to $370M, though net income fell sharply due to ramp costs</w:t>
      </w:r>
    </w:p>
    <w:p>
      <w:pPr>
        <w:pStyle w:val="Compact"/>
        <w:numPr>
          <w:ilvl w:val="0"/>
          <w:numId w:val="1002"/>
        </w:numPr>
      </w:pPr>
      <w:r>
        <w:t xml:space="preserve">Management disclosed two additional large, long-term hyperscaler agreements (beyond the up-to-$6B Meta deal), similar in size and duration</w:t>
      </w:r>
    </w:p>
    <w:p>
      <w:pPr>
        <w:pStyle w:val="FirstParagraph"/>
      </w:pPr>
      <w:r>
        <w:rPr>
          <w:b/>
          <w:bCs/>
        </w:rPr>
        <w:t xml:space="preserve">Q2 guidance (given April 28):</w:t>
      </w:r>
      <w:r>
        <w:t xml:space="preserve"> </w:t>
      </w:r>
      <w:r>
        <w:t xml:space="preserve">core sales growth of ~14% to ~</w:t>
      </w:r>
      <m:oMath>
        <m:r>
          <m:t>4.6</m:t>
        </m:r>
        <m:r>
          <m:t>B</m:t>
        </m:r>
        <m:r>
          <m:rPr>
            <m:sty m:val="p"/>
          </m:rPr>
          <m:t>,</m:t>
        </m:r>
        <m:r>
          <m:t>a</m:t>
        </m:r>
        <m:r>
          <m:t>n</m:t>
        </m:r>
        <m:r>
          <m:t>d</m:t>
        </m:r>
        <m:r>
          <m:t>c</m:t>
        </m:r>
        <m:r>
          <m:t>o</m:t>
        </m:r>
        <m:r>
          <m:t>r</m:t>
        </m:r>
        <m:r>
          <m:t>e</m:t>
        </m:r>
        <m:r>
          <m:t>E</m:t>
        </m:r>
        <m:r>
          <m:t>P</m:t>
        </m:r>
        <m:r>
          <m:t>S</m:t>
        </m:r>
        <m:r>
          <m:t>g</m:t>
        </m:r>
        <m:r>
          <m:t>r</m:t>
        </m:r>
        <m:r>
          <m:t>o</m:t>
        </m:r>
        <m:r>
          <m:t>w</m:t>
        </m:r>
        <m:r>
          <m:t>t</m:t>
        </m:r>
        <m:r>
          <m:t>h</m:t>
        </m:r>
        <m:r>
          <m:t>o</m:t>
        </m:r>
        <m:r>
          <m:t>f</m:t>
        </m:r>
        <m:r>
          <m:t> </m:t>
        </m:r>
        <m:r>
          <m:t>25</m:t>
        </m:r>
      </m:oMath>
      <w:r>
        <w:t xml:space="preserve">0.73–</w:t>
      </w:r>
      <m:oMath>
        <m:r>
          <m:t>0.77</m:t>
        </m:r>
        <m:r>
          <m:rPr>
            <m:sty m:val="p"/>
          </m:rPr>
          <m:t>*</m:t>
        </m:r>
        <m:r>
          <m:rPr>
            <m:sty m:val="p"/>
          </m:rPr>
          <m:t>*</m:t>
        </m:r>
        <m:r>
          <m:rPr>
            <m:sty m:val="p"/>
          </m:rPr>
          <m:t>.</m:t>
        </m:r>
        <m:r>
          <m:t>I</m:t>
        </m:r>
        <m:r>
          <m:t>m</m:t>
        </m:r>
        <m:r>
          <m:t>p</m:t>
        </m:r>
        <m:r>
          <m:t>o</m:t>
        </m:r>
        <m:r>
          <m:t>r</m:t>
        </m:r>
        <m:r>
          <m:t>t</m:t>
        </m:r>
        <m:r>
          <m:t>a</m:t>
        </m:r>
        <m:r>
          <m:t>n</m:t>
        </m:r>
        <m:r>
          <m:t>t</m:t>
        </m:r>
        <m:r>
          <m:t>l</m:t>
        </m:r>
        <m:r>
          <m:t>y</m:t>
        </m:r>
        <m:r>
          <m:rPr>
            <m:sty m:val="p"/>
          </m:rPr>
          <m:t>,</m:t>
        </m:r>
        <m:r>
          <m:t>t</m:t>
        </m:r>
        <m:r>
          <m:t>h</m:t>
        </m:r>
        <m:r>
          <m:t>a</m:t>
        </m:r>
        <m:r>
          <m:t>t</m:t>
        </m:r>
        <m:r>
          <m:t>g</m:t>
        </m:r>
        <m:r>
          <m:t>u</m:t>
        </m:r>
        <m:r>
          <m:t>i</m:t>
        </m:r>
        <m:r>
          <m:t>d</m:t>
        </m:r>
        <m:r>
          <m:t>e</m:t>
        </m:r>
        <m:r>
          <m:t>a</m:t>
        </m:r>
        <m:r>
          <m:t>l</m:t>
        </m:r>
        <m:r>
          <m:t>r</m:t>
        </m:r>
        <m:r>
          <m:t>e</m:t>
        </m:r>
        <m:r>
          <m:t>a</m:t>
        </m:r>
        <m:r>
          <m:t>d</m:t>
        </m:r>
        <m:r>
          <m:t>y</m:t>
        </m:r>
        <m:r>
          <m:t>b</m:t>
        </m:r>
        <m:r>
          <m:t>a</m:t>
        </m:r>
        <m:r>
          <m:t>k</m:t>
        </m:r>
        <m:r>
          <m:t>e</m:t>
        </m:r>
        <m:r>
          <m:t>s</m:t>
        </m:r>
        <m:r>
          <m:t>i</m:t>
        </m:r>
        <m:r>
          <m:t>n</m:t>
        </m:r>
        <m:r>
          <m:t>a</m:t>
        </m:r>
        <m:r>
          <m:t>n</m:t>
        </m:r>
        <m:r>
          <m:t>i</m:t>
        </m:r>
        <m:r>
          <m:t>n</m:t>
        </m:r>
        <m:r>
          <m:t>c</m:t>
        </m:r>
        <m:r>
          <m:t>r</m:t>
        </m:r>
        <m:r>
          <m:t>e</m:t>
        </m:r>
        <m:r>
          <m:t>m</m:t>
        </m:r>
        <m:r>
          <m:t>e</m:t>
        </m:r>
        <m:r>
          <m:t>n</m:t>
        </m:r>
        <m:r>
          <m:t>t</m:t>
        </m:r>
        <m:r>
          <m:t>a</m:t>
        </m:r>
        <m:r>
          <m:t>l</m:t>
        </m:r>
        <m:r>
          <m:rPr>
            <m:sty m:val="p"/>
          </m:rPr>
          <m:t>*</m:t>
        </m:r>
        <m:r>
          <m:rPr>
            <m:sty m:val="p"/>
          </m:rPr>
          <m:t>*</m:t>
        </m:r>
      </m:oMath>
      <w:r>
        <w:t xml:space="preserve">30 million of expense** tied to an extended maintenance shutdown at the company's solar wafer facility (transitioning to permanent power infrastructure), which management estimated could weigh on EPS by roughly $0.07 combined with prior ramp costs. Whether this shutdown resolved on schedule — or dragged longer — is one of the more concrete, checkable items for this print.</w:t>
      </w:r>
    </w:p>
    <w:bookmarkEnd w:id="11"/>
    <w:bookmarkStart w:id="12" w:name="Xe6084bc5ae05e3fcabac4da183bddeadf7a9424"/>
    <w:p>
      <w:pPr>
        <w:pStyle w:val="Heading2"/>
      </w:pPr>
      <w:r>
        <w:t xml:space="preserve">4. What Investors Should Watch on the Call</w:t>
      </w:r>
    </w:p>
    <w:p>
      <w:pPr>
        <w:pStyle w:val="FirstParagraph"/>
      </w:pPr>
      <w:r>
        <w:rPr>
          <w:b/>
          <w:bCs/>
        </w:rPr>
        <w:t xml:space="preserve">a) Optical Communications momentum and the AI capex debate.</w:t>
      </w:r>
      <w:r>
        <w:t xml:space="preserve"> </w:t>
      </w:r>
      <w:r>
        <w:t xml:space="preserve">This remains the single biggest swing factor. At the May 6 investor day, Corning upgraded its internal "Springboard" plan to a</w:t>
      </w:r>
      <w:r>
        <w:t xml:space="preserve"> </w:t>
      </w:r>
      <m:oMath>
        <m:r>
          <m:t>30</m:t>
        </m:r>
        <m:r>
          <m:t>b</m:t>
        </m:r>
        <m:r>
          <m:t>i</m:t>
        </m:r>
        <m:r>
          <m:t>l</m:t>
        </m:r>
        <m:r>
          <m:t>l</m:t>
        </m:r>
        <m:r>
          <m:t>i</m:t>
        </m:r>
        <m:r>
          <m:t>o</m:t>
        </m:r>
        <m:r>
          <m:t>n</m:t>
        </m:r>
        <m:r>
          <m:t>a</m:t>
        </m:r>
        <m:r>
          <m:t>n</m:t>
        </m:r>
        <m:r>
          <m:t>n</m:t>
        </m:r>
        <m:r>
          <m:t>u</m:t>
        </m:r>
        <m:r>
          <m:t>a</m:t>
        </m:r>
        <m:r>
          <m:t>l</m:t>
        </m:r>
        <m:r>
          <m:t>i</m:t>
        </m:r>
        <m:r>
          <m:t>z</m:t>
        </m:r>
        <m:r>
          <m:t>e</m:t>
        </m:r>
        <m:r>
          <m:t>d</m:t>
        </m:r>
        <m:r>
          <m:t>s</m:t>
        </m:r>
        <m:r>
          <m:t>a</m:t>
        </m:r>
        <m:r>
          <m:t>l</m:t>
        </m:r>
        <m:r>
          <m:t>e</m:t>
        </m:r>
        <m:r>
          <m:t>s</m:t>
        </m:r>
        <m:r>
          <m:t>r</m:t>
        </m:r>
        <m:r>
          <m:t>u</m:t>
        </m:r>
        <m:r>
          <m:t>n</m:t>
        </m:r>
        <m:r>
          <m:t>r</m:t>
        </m:r>
        <m:r>
          <m:t>a</m:t>
        </m:r>
        <m:r>
          <m:t>t</m:t>
        </m:r>
        <m:r>
          <m:t>e</m:t>
        </m:r>
        <m:r>
          <m:t>b</m:t>
        </m:r>
        <m:r>
          <m:t>y</m:t>
        </m:r>
        <m:r>
          <m:t>t</m:t>
        </m:r>
        <m:r>
          <m:t>h</m:t>
        </m:r>
        <m:r>
          <m:t>e</m:t>
        </m:r>
        <m:r>
          <m:t>e</m:t>
        </m:r>
        <m:r>
          <m:t>n</m:t>
        </m:r>
        <m:r>
          <m:t>d</m:t>
        </m:r>
        <m:r>
          <m:t>o</m:t>
        </m:r>
        <m:r>
          <m:t>f</m:t>
        </m:r>
        <m:r>
          <m:t>2028</m:t>
        </m:r>
        <m:r>
          <m:rPr>
            <m:sty m:val="p"/>
          </m:rPr>
          <m:t>*</m:t>
        </m:r>
        <m:r>
          <m:rPr>
            <m:sty m:val="p"/>
          </m:rPr>
          <m:t>*</m:t>
        </m:r>
        <m:r>
          <m:t>a</m:t>
        </m:r>
        <m:r>
          <m:t>n</m:t>
        </m:r>
        <m:r>
          <m:t>d</m:t>
        </m:r>
        <m:r>
          <m:rPr>
            <m:sty m:val="p"/>
          </m:rPr>
          <m:t>*</m:t>
        </m:r>
        <m:r>
          <m:rPr>
            <m:sty m:val="p"/>
          </m:rPr>
          <m:t>*</m:t>
        </m:r>
      </m:oMath>
      <w:r>
        <w:rPr>
          <w:b/>
          <w:bCs/>
        </w:rPr>
        <w:t xml:space="preserve">40 billion by the end of 2030</w:t>
      </w:r>
      <w:r>
        <w:t xml:space="preserve"> </w:t>
      </w:r>
      <w:r>
        <w:t xml:space="preserve">(versus a high-confidence, risk-adjusted plan of $27B and $35B, respectively) — driven by GPU cluster scale-out requiring a third optical switching layer, the nascent shift of "scale-up" networks from copper to optical, and a brand-new Photonics MAP targeting co-packaged/near-package optics with a projected $10 billion opportunity by 2030. Given the sharp recent selloff in AI-infrastructure names, investors will be listening closely for any incremental commentary on hyperscaler capex durability, additional long-term agreements, or signs of order pushouts.</w:t>
      </w:r>
    </w:p>
    <w:p>
      <w:pPr>
        <w:pStyle w:val="BodyText"/>
      </w:pPr>
      <w:r>
        <w:rPr>
          <w:b/>
          <w:bCs/>
        </w:rPr>
        <w:t xml:space="preserve">b) Solar segment execution.</w:t>
      </w:r>
      <w:r>
        <w:t xml:space="preserve"> </w:t>
      </w:r>
      <w:r>
        <w:t xml:space="preserve">Corning's Solar business (polysilicon, wafers, modules) is arguably the most execution-sensitive part of the story. Polysilicon and modules were already tracking above the 20% corporate operating-margin target; wafers were the problem child due to the extended maintenance shutdown. Confirmation that the facility is back online and productivity is improving — versus further delays — will matter for both margin trajectory and the credibility of the $2.5B+ (now upgraded to $3B+) solar revenue target by 2028–2030.</w:t>
      </w:r>
    </w:p>
    <w:p>
      <w:pPr>
        <w:pStyle w:val="BodyText"/>
      </w:pPr>
      <w:r>
        <w:rPr>
          <w:b/>
          <w:bCs/>
        </w:rPr>
        <w:t xml:space="preserve">c) Glass Innovations (Display + Specialty Materials) and memory-cost headwinds.</w:t>
      </w:r>
      <w:r>
        <w:t xml:space="preserve"> </w:t>
      </w:r>
      <w:r>
        <w:t xml:space="preserve">Management flagged that rising memory prices would "significantly impact the market in 2026," a dynamic reinforced by broader industry commentary (e.g., peers citing "elevated memory expenses" pressuring margins). Watch for how Corning's premium Gorilla Glass position and new Gorilla Glass Ceramic 3 are holding up against this pressure, plus any updates on the Apple Kentucky cover-glass agreement.</w:t>
      </w:r>
    </w:p>
    <w:p>
      <w:pPr>
        <w:pStyle w:val="BodyText"/>
      </w:pPr>
      <w:r>
        <w:rPr>
          <w:b/>
          <w:bCs/>
        </w:rPr>
        <w:t xml:space="preserve">d) Margin, ROIC, and capital allocation.</w:t>
      </w:r>
      <w:r>
        <w:t xml:space="preserve"> </w:t>
      </w:r>
      <w:r>
        <w:t xml:space="preserve">Corning hit its 20% operating margin target a year early and has stated it can sustain or exceed that level even while absorbing solar ramp costs, without committing to a new formal target until later this year. With ROIC in the mid-teens and management guiding toward high-teens ROIC longer-term, watch for updated commentary on CapEx (guided at ~$1.7B for the year, with room to run higher) and the pace of share buybacks, which management has said will be the primary vehicle for returning excess cash going forward.</w:t>
      </w:r>
    </w:p>
    <w:p>
      <w:pPr>
        <w:pStyle w:val="BodyText"/>
      </w:pPr>
      <w:r>
        <w:rPr>
          <w:b/>
          <w:bCs/>
        </w:rPr>
        <w:t xml:space="preserve">e) Automotive softness.</w:t>
      </w:r>
      <w:r>
        <w:t xml:space="preserve"> </w:t>
      </w:r>
      <w:r>
        <w:t xml:space="preserve">A modest drag given a global vehicle market described as down in recent quarters — not a major swing factor, but worth monitoring for signs of stabilization or further weakness.</w:t>
      </w:r>
    </w:p>
    <w:bookmarkEnd w:id="12"/>
    <w:bookmarkStart w:id="13" w:name="X7bbc4bf33361b8d57a113ec9b0f9e395cc159a5"/>
    <w:p>
      <w:pPr>
        <w:pStyle w:val="Heading2"/>
      </w:pPr>
      <w:r>
        <w:t xml:space="preserve">5. The Bigger Picture: Priced for Perfection, Then Repriced Lower</w:t>
      </w:r>
    </w:p>
    <w:p>
      <w:pPr>
        <w:pStyle w:val="FirstParagraph"/>
      </w:pPr>
      <w:r>
        <w:t xml:space="preserve">The core tension entering this print is that Corning's growth story (hyperscaler AI buildouts, a newly extended and upgraded Springboard plan, an NVIDIA partnership, and a re-accelerating 19% sales CAGR target) is genuinely strong — but the stock already ran up enormously to reflect it before giving back a large chunk of those gains amid a sector-wide reassessment of AI capex durability and memory-cost/input inflation. That combination means:</w:t>
      </w:r>
    </w:p>
    <w:p>
      <w:pPr>
        <w:pStyle w:val="Compact"/>
        <w:numPr>
          <w:ilvl w:val="0"/>
          <w:numId w:val="1003"/>
        </w:numPr>
      </w:pPr>
      <w:r>
        <w:t xml:space="preserve">A clean beat-and-raise, with reassurance on the solar wafer ramp and continued hyperscaler deal flow, could help the stock recover ground given how far it has already fallen from its highs.</w:t>
      </w:r>
    </w:p>
    <w:p>
      <w:pPr>
        <w:pStyle w:val="Compact"/>
        <w:numPr>
          <w:ilvl w:val="0"/>
          <w:numId w:val="1003"/>
        </w:numPr>
      </w:pPr>
      <w:r>
        <w:t xml:space="preserve">An in-line quarter or any hint of AI-linked demand softening, delayed customer capex, or a slower Photonics/scale-up adoption timeline could compound the recent de-rating, given how binary sentiment has become around AI infrastructure names.</w:t>
      </w:r>
    </w:p>
    <w:p>
      <w:pPr>
        <w:pStyle w:val="Compact"/>
        <w:numPr>
          <w:ilvl w:val="0"/>
          <w:numId w:val="1003"/>
        </w:numPr>
      </w:pPr>
      <w:r>
        <w:t xml:space="preserve">Investors will also be parsing Q3 guidance closely, since the "high-confidence" Springboard framework Corning laid out in May explicitly builds in a wide range of outcomes tied to the uncertain timing of optical "scale-up" adoption — meaning management's tone on visibility, not just this quarter's numbers, may be the more important signal for the stock over the next several quarters.</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2026-07-28T00:28:32Z</dcterms:created>
  <dcterms:modified xsi:type="dcterms:W3CDTF">2026-07-28T00:28:32Z</dcterms:modified>
</cp:coreProperties>
</file>

<file path=docProps/custom.xml><?xml version="1.0" encoding="utf-8"?>
<Properties xmlns="http://schemas.openxmlformats.org/officeDocument/2006/custom-properties" xmlns:vt="http://schemas.openxmlformats.org/officeDocument/2006/docPropsVTypes"/>
</file>