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cc7f21ace75f38c073d8ca86feb77524dc28ee"/>
    <w:p>
      <w:pPr>
        <w:pStyle w:val="Heading1"/>
      </w:pPr>
      <w:r>
        <w:t xml:space="preserve">Corning (NYSE: GLW) — Q2 2026 Earnings Preview</w:t>
      </w:r>
    </w:p>
    <w:p>
      <w:pPr>
        <w:pStyle w:val="BlockText"/>
      </w:pPr>
      <w:r>
        <w:rPr>
          <w:b/>
          <w:bCs/>
        </w:rPr>
        <w:t xml:space="preserve">Date clarification:</w:t>
      </w:r>
      <w:r>
        <w:t xml:space="preserve"> </w:t>
      </w:r>
      <w:r>
        <w:t xml:space="preserve">July 28, 2026 is</w:t>
      </w:r>
      <w:r>
        <w:t xml:space="preserve"> </w:t>
      </w:r>
      <w:r>
        <w:rPr>
          <w:b/>
          <w:bCs/>
        </w:rPr>
        <w:t xml:space="preserve">today</w:t>
      </w:r>
      <w:r>
        <w:t xml:space="preserve">, not tomorrow. The latest pre-release schedule indicates Corning is due to report</w:t>
      </w:r>
      <w:r>
        <w:t xml:space="preserve"> </w:t>
      </w:r>
      <w:r>
        <w:rPr>
          <w:b/>
          <w:bCs/>
        </w:rPr>
        <w:t xml:space="preserve">before the U.S. market open on Tuesday, July 28</w:t>
      </w:r>
      <w:r>
        <w:t xml:space="preserve">, with the earnings call at 8:30 a.m. ET. This preview uses information available before the Q2 release was posted.</w:t>
      </w:r>
    </w:p>
    <w:bookmarkStart w:id="9" w:name="executive-view"/>
    <w:p>
      <w:pPr>
        <w:pStyle w:val="Heading2"/>
      </w:pPr>
      <w:r>
        <w:t xml:space="preserve">Executive view</w:t>
      </w:r>
    </w:p>
    <w:p>
      <w:pPr>
        <w:pStyle w:val="FirstParagraph"/>
      </w:pPr>
      <w:r>
        <w:t xml:space="preserve">Corning enters Q2 with unusually strong operating momentum—and unusually high expectations.</w:t>
      </w:r>
    </w:p>
    <w:p>
      <w:pPr>
        <w:pStyle w:val="BodyText"/>
      </w:pPr>
      <w:r>
        <w:t xml:space="preserve">AI-driven demand has transformed Optical Communications into the company’s principal growth engine, while long-term agreements with Meta, NVIDIA, and other hyperscale customers have substantially improved revenue visibility. At the same time, Corning is investing aggressively to capture that demand and is still working through execution issues at its new solar-wafer operation.</w:t>
      </w:r>
    </w:p>
    <w:p>
      <w:pPr>
        <w:pStyle w:val="BodyText"/>
      </w:pPr>
      <w:r>
        <w:t xml:space="preserve">The reported quarter should be solid: management already guided to approximately</w:t>
      </w:r>
      <w:r>
        <w:t xml:space="preserve"> </w:t>
      </w:r>
      <m:oMath>
        <m:r>
          <m:t>4.6</m:t>
        </m:r>
        <m:r>
          <m:t>b</m:t>
        </m:r>
        <m:r>
          <m:t>i</m:t>
        </m:r>
        <m:r>
          <m:t>l</m:t>
        </m:r>
        <m:r>
          <m:t>l</m:t>
        </m:r>
        <m:r>
          <m:t>i</m:t>
        </m:r>
        <m:r>
          <m:t>o</m:t>
        </m:r>
        <m:r>
          <m:t>n</m:t>
        </m:r>
        <m:r>
          <m:t>o</m:t>
        </m:r>
        <m:r>
          <m:t>f</m:t>
        </m:r>
        <m:r>
          <m:t>c</m:t>
        </m:r>
        <m:r>
          <m:t>o</m:t>
        </m:r>
        <m:r>
          <m:t>r</m:t>
        </m:r>
        <m:r>
          <m:t>e</m:t>
        </m:r>
        <m:r>
          <m:t>s</m:t>
        </m:r>
        <m:r>
          <m:t>a</m:t>
        </m:r>
        <m:r>
          <m:t>l</m:t>
        </m:r>
        <m:r>
          <m:t>e</m:t>
        </m:r>
        <m:r>
          <m:t>s</m:t>
        </m:r>
        <m:r>
          <m:rPr>
            <m:sty m:val="p"/>
          </m:rPr>
          <m:t>*</m:t>
        </m:r>
        <m:r>
          <m:rPr>
            <m:sty m:val="p"/>
          </m:rPr>
          <m:t>*</m:t>
        </m:r>
        <m:r>
          <m:t>a</m:t>
        </m:r>
        <m:r>
          <m:t>n</m:t>
        </m:r>
        <m:r>
          <m:t>d</m:t>
        </m:r>
        <m:r>
          <m:rPr>
            <m:sty m:val="p"/>
          </m:rPr>
          <m:t>*</m:t>
        </m:r>
        <m:r>
          <m:rPr>
            <m:sty m:val="p"/>
          </m:rPr>
          <m:t>*</m:t>
        </m:r>
      </m:oMath>
      <w:r>
        <w:rPr>
          <w:b/>
          <w:bCs/>
        </w:rPr>
        <w:t xml:space="preserve">0.73–</w:t>
      </w:r>
      <m:oMath>
        <m:r>
          <m:t>0.77</m:t>
        </m:r>
        <m:r>
          <m:t>o</m:t>
        </m:r>
        <m:r>
          <m:t>f</m:t>
        </m:r>
        <m:r>
          <m:t>c</m:t>
        </m:r>
        <m:r>
          <m:t>o</m:t>
        </m:r>
        <m:r>
          <m:t>r</m:t>
        </m:r>
        <m:r>
          <m:t>e</m:t>
        </m:r>
        <m:r>
          <m:t>E</m:t>
        </m:r>
        <m:r>
          <m:t>P</m:t>
        </m:r>
        <m:r>
          <m:t>S</m:t>
        </m:r>
        <m:r>
          <m:rPr>
            <m:sty m:val="p"/>
          </m:rPr>
          <m:t>*</m:t>
        </m:r>
        <m:r>
          <m:rPr>
            <m:sty m:val="p"/>
          </m:rPr>
          <m:t>*</m:t>
        </m:r>
        <m:r>
          <m:rPr>
            <m:sty m:val="p"/>
          </m:rPr>
          <m:t>,</m:t>
        </m:r>
        <m:r>
          <m:t>d</m:t>
        </m:r>
        <m:r>
          <m:t>e</m:t>
        </m:r>
        <m:r>
          <m:t>s</m:t>
        </m:r>
        <m:r>
          <m:t>p</m:t>
        </m:r>
        <m:r>
          <m:t>i</m:t>
        </m:r>
        <m:r>
          <m:t>t</m:t>
        </m:r>
        <m:r>
          <m:t>e</m:t>
        </m:r>
        <m:r>
          <m:t>r</m:t>
        </m:r>
        <m:r>
          <m:t>o</m:t>
        </m:r>
        <m:r>
          <m:t>u</m:t>
        </m:r>
        <m:r>
          <m:t>g</m:t>
        </m:r>
        <m:r>
          <m:t>h</m:t>
        </m:r>
        <m:r>
          <m:t>l</m:t>
        </m:r>
        <m:r>
          <m:t>y</m:t>
        </m:r>
        <m:r>
          <m:rPr>
            <m:sty m:val="p"/>
          </m:rPr>
          <m:t>*</m:t>
        </m:r>
        <m:r>
          <m:rPr>
            <m:sty m:val="p"/>
          </m:rPr>
          <m:t>*</m:t>
        </m:r>
      </m:oMath>
      <w:r>
        <w:rPr>
          <w:b/>
          <w:bCs/>
        </w:rPr>
        <w:t xml:space="preserve">0.07 per share of solar-wafer ramp and shutdown costs</w:t>
      </w:r>
      <w:r>
        <w:t xml:space="preserve">. The more consequential questions are:</w:t>
      </w:r>
    </w:p>
    <w:p>
      <w:pPr>
        <w:pStyle w:val="Compact"/>
        <w:numPr>
          <w:ilvl w:val="0"/>
          <w:numId w:val="1001"/>
        </w:numPr>
      </w:pPr>
      <w:r>
        <w:t xml:space="preserve">Can Optical Communications continue growing well above the broader market?</w:t>
      </w:r>
    </w:p>
    <w:p>
      <w:pPr>
        <w:pStyle w:val="Compact"/>
        <w:numPr>
          <w:ilvl w:val="0"/>
          <w:numId w:val="1001"/>
        </w:numPr>
      </w:pPr>
      <w:r>
        <w:t xml:space="preserve">Is the solar-wafer facility ready to restart and improve sequentially?</w:t>
      </w:r>
    </w:p>
    <w:p>
      <w:pPr>
        <w:pStyle w:val="Compact"/>
        <w:numPr>
          <w:ilvl w:val="0"/>
          <w:numId w:val="1001"/>
        </w:numPr>
      </w:pPr>
      <w:r>
        <w:t xml:space="preserve">Does the second-half outlook support Corning’s ambitious new Springboard targets?</w:t>
      </w:r>
    </w:p>
    <w:p>
      <w:pPr>
        <w:pStyle w:val="Compact"/>
        <w:numPr>
          <w:ilvl w:val="0"/>
          <w:numId w:val="1001"/>
        </w:numPr>
      </w:pPr>
      <w:r>
        <w:t xml:space="preserve">Can free cash flow grow while capital spending accelerates?</w:t>
      </w:r>
    </w:p>
    <w:p>
      <w:pPr>
        <w:pStyle w:val="FirstParagraph"/>
      </w:pPr>
      <w:r>
        <w:t xml:space="preserve">A routine beat may not be enough if forward guidance or Optical commentary disappoints.</w:t>
      </w:r>
    </w:p>
    <w:p>
      <w:r>
        <w:pict>
          <v:rect style="width:0;height:1.5pt" o:hralign="center" o:hrstd="t" o:hr="t"/>
        </w:pict>
      </w:r>
    </w:p>
    <w:bookmarkEnd w:id="9"/>
    <w:bookmarkStart w:id="10" w:name="the-q2-scorecard"/>
    <w:p>
      <w:pPr>
        <w:pStyle w:val="Heading2"/>
      </w:pPr>
      <w:r>
        <w:t xml:space="preserve">The Q2 scorecard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benchmark</w:t>
            </w:r>
          </w:p>
        </w:tc>
        <w:tc>
          <w:tcPr/>
          <w:p>
            <w:pPr>
              <w:pStyle w:val="Compact"/>
              <w:jc w:val="right"/>
            </w:pPr>
            <w:r>
              <w:t xml:space="preserve">Q1 2026</w:t>
            </w:r>
          </w:p>
        </w:tc>
        <w:tc>
          <w:tcPr/>
          <w:p>
            <w:pPr>
              <w:pStyle w:val="Compact"/>
              <w:jc w:val="right"/>
            </w:pPr>
            <w:r>
              <w:t xml:space="preserve">Q2 2025</w:t>
            </w:r>
          </w:p>
        </w:tc>
      </w:tr>
      <w:tr>
        <w:tc>
          <w:tcPr/>
          <w:p>
            <w:pPr>
              <w:pStyle w:val="Compact"/>
            </w:pPr>
            <w:r>
              <w:t xml:space="preserve">Core sales</w:t>
            </w:r>
          </w:p>
        </w:tc>
        <w:tc>
          <w:tcPr/>
          <w:p>
            <w:pPr>
              <w:pStyle w:val="Compact"/>
              <w:jc w:val="right"/>
            </w:pPr>
            <w:r>
              <w:t xml:space="preserve">Management:</w:t>
            </w:r>
            <w:r>
              <w:t xml:space="preserve"> </w:t>
            </w:r>
            <w:r>
              <w:rPr>
                <w:b/>
                <w:bCs/>
              </w:rPr>
              <w:t xml:space="preserve">~</w:t>
            </w:r>
            <m:oMath>
              <m:r>
                <m:t>4.6</m:t>
              </m:r>
              <m:r>
                <m:t>B</m:t>
              </m:r>
              <m:r>
                <m:rPr>
                  <m:sty m:val="p"/>
                </m:rPr>
                <m:t>*</m:t>
              </m:r>
              <m:r>
                <m:rPr>
                  <m:sty m:val="p"/>
                </m:rPr>
                <m:t>*</m:t>
              </m:r>
              <m:r>
                <m:rPr>
                  <m:sty m:val="p"/>
                </m:rPr>
                <m:t>;</m:t>
              </m:r>
              <m:r>
                <m:t>m</m:t>
              </m:r>
              <m:r>
                <m:t>a</m:t>
              </m:r>
              <m:r>
                <m:t>r</m:t>
              </m:r>
              <m:r>
                <m:t>k</m:t>
              </m:r>
              <m:r>
                <m:t>e</m:t>
              </m:r>
              <m:r>
                <m:t>t</m:t>
              </m:r>
              <m:r>
                <m:t>p</m:t>
              </m:r>
              <m:r>
                <m:t>r</m:t>
              </m:r>
              <m:r>
                <m:t>e</m:t>
              </m:r>
              <m:r>
                <m:t>v</m:t>
              </m:r>
              <m:r>
                <m:t>i</m:t>
              </m:r>
              <m:r>
                <m:t>e</m:t>
              </m:r>
              <m:r>
                <m:t>w</m:t>
              </m:r>
              <m:r>
                <m:rPr>
                  <m:sty m:val="p"/>
                </m:rPr>
                <m:t>:</m:t>
              </m:r>
              <m:r>
                <m:rPr>
                  <m:sty m:val="p"/>
                </m:rPr>
                <m:t>*</m:t>
              </m:r>
              <m:r>
                <m:rPr>
                  <m:sty m:val="p"/>
                </m:rPr>
                <m:t>*</m:t>
              </m:r>
              <m:r>
                <m:t> </m:t>
              </m:r>
            </m:oMath>
            <w:r>
              <w:rPr>
                <w:b/>
                <w:bCs/>
              </w:rPr>
              <w:t xml:space="preserve">4.63B</w:t>
            </w:r>
          </w:p>
        </w:tc>
        <w:tc>
          <w:tcPr/>
          <w:p>
            <w:pPr>
              <w:pStyle w:val="Compact"/>
              <w:jc w:val="right"/>
            </w:pPr>
            <w:r>
              <w:t xml:space="preserve">$4.35B</w:t>
            </w:r>
          </w:p>
        </w:tc>
        <w:tc>
          <w:tcPr/>
          <w:p>
            <w:pPr>
              <w:pStyle w:val="Compact"/>
              <w:jc w:val="right"/>
            </w:pPr>
            <w:r>
              <w:t xml:space="preserve">$4.05B</w:t>
            </w:r>
          </w:p>
        </w:tc>
      </w:tr>
      <w:tr>
        <w:tc>
          <w:tcPr/>
          <w:p>
            <w:pPr>
              <w:pStyle w:val="Compact"/>
            </w:pPr>
            <w:r>
              <w:t xml:space="preserve">Core EPS</w:t>
            </w:r>
          </w:p>
        </w:tc>
        <w:tc>
          <w:tcPr/>
          <w:p>
            <w:pPr>
              <w:pStyle w:val="Compact"/>
              <w:jc w:val="right"/>
            </w:pPr>
            <w:r>
              <w:t xml:space="preserve">Management:</w:t>
            </w:r>
            <w:r>
              <w:t xml:space="preserve"> </w:t>
            </w:r>
            <m:oMath>
              <m:r>
                <m:t>0.73</m:t>
              </m:r>
              <m:r>
                <m:rPr>
                  <m:sty m:val="p"/>
                </m:rPr>
                <m:t>–</m:t>
              </m:r>
            </m:oMath>
            <w:r>
              <w:rPr>
                <w:b/>
                <w:bCs/>
              </w:rPr>
              <w:t xml:space="preserve">0.77</w:t>
            </w:r>
          </w:p>
        </w:tc>
        <w:tc>
          <w:tcPr/>
          <w:p>
            <w:pPr>
              <w:pStyle w:val="Compact"/>
              <w:jc w:val="right"/>
            </w:pPr>
            <w:r>
              <w:t xml:space="preserve">$0.70</w:t>
            </w:r>
          </w:p>
        </w:tc>
        <w:tc>
          <w:tcPr/>
          <w:p>
            <w:pPr>
              <w:pStyle w:val="Compact"/>
              <w:jc w:val="right"/>
            </w:pPr>
            <w:r>
              <w:t xml:space="preserve">$0.60</w:t>
            </w:r>
          </w:p>
        </w:tc>
      </w:tr>
      <w:tr>
        <w:tc>
          <w:tcPr/>
          <w:p>
            <w:pPr>
              <w:pStyle w:val="Compact"/>
            </w:pPr>
            <w:r>
              <w:t xml:space="preserve">Optical Communications sales</w:t>
            </w:r>
          </w:p>
        </w:tc>
        <w:tc>
          <w:tcPr/>
          <w:p>
            <w:pPr>
              <w:pStyle w:val="Compact"/>
              <w:jc w:val="right"/>
            </w:pPr>
            <w:r>
              <w:t xml:space="preserve">Market preview:</w:t>
            </w:r>
            <w:r>
              <w:t xml:space="preserve"> </w:t>
            </w:r>
            <w:r>
              <w:rPr>
                <w:b/>
                <w:bCs/>
              </w:rPr>
              <w:t xml:space="preserve">~$1.99B</w:t>
            </w:r>
            <w:r>
              <w:t xml:space="preserve">, +27% YoY</w:t>
            </w:r>
          </w:p>
        </w:tc>
        <w:tc>
          <w:tcPr/>
          <w:p>
            <w:pPr>
              <w:pStyle w:val="Compact"/>
              <w:jc w:val="right"/>
            </w:pPr>
            <w:r>
              <w:t xml:space="preserve">$1.85B</w:t>
            </w:r>
          </w:p>
        </w:tc>
        <w:tc>
          <w:tcPr/>
          <w:p>
            <w:pPr>
              <w:pStyle w:val="Compact"/>
              <w:jc w:val="right"/>
            </w:pPr>
            <w:r>
              <w:t xml:space="preserve">$1.57B</w:t>
            </w:r>
          </w:p>
        </w:tc>
      </w:tr>
      <w:tr>
        <w:tc>
          <w:tcPr/>
          <w:p>
            <w:pPr>
              <w:pStyle w:val="Compact"/>
            </w:pPr>
            <w:r>
              <w:t xml:space="preserve">Core operating margin</w:t>
            </w:r>
          </w:p>
        </w:tc>
        <w:tc>
          <w:tcPr/>
          <w:p>
            <w:pPr>
              <w:pStyle w:val="Compact"/>
              <w:jc w:val="right"/>
            </w:pPr>
            <w:r>
              <w:t xml:space="preserve">Watch for</w:t>
            </w:r>
            <w:r>
              <w:t xml:space="preserve"> </w:t>
            </w:r>
            <w:r>
              <w:rPr>
                <w:b/>
                <w:bCs/>
              </w:rPr>
              <w:t xml:space="preserve">at least ~20%</w:t>
            </w:r>
          </w:p>
        </w:tc>
        <w:tc>
          <w:tcPr/>
          <w:p>
            <w:pPr>
              <w:pStyle w:val="Compact"/>
              <w:jc w:val="right"/>
            </w:pPr>
            <w:r>
              <w:t xml:space="preserve">20.2%</w:t>
            </w:r>
          </w:p>
        </w:tc>
        <w:tc>
          <w:tcPr/>
          <w:p>
            <w:pPr>
              <w:pStyle w:val="Compact"/>
              <w:jc w:val="right"/>
            </w:pPr>
            <w:r>
              <w:t xml:space="preserve">19.0%</w:t>
            </w:r>
          </w:p>
        </w:tc>
      </w:tr>
      <w:tr>
        <w:tc>
          <w:tcPr/>
          <w:p>
            <w:pPr>
              <w:pStyle w:val="Compact"/>
            </w:pPr>
            <w:r>
              <w:t xml:space="preserve">Adjusted free cash flow</w:t>
            </w:r>
          </w:p>
        </w:tc>
        <w:tc>
          <w:tcPr/>
          <w:p>
            <w:pPr>
              <w:pStyle w:val="Compact"/>
              <w:jc w:val="right"/>
            </w:pPr>
            <w:r>
              <w:t xml:space="preserve">No explicit quarterly guide</w:t>
            </w:r>
          </w:p>
        </w:tc>
        <w:tc>
          <w:tcPr/>
          <w:p>
            <w:pPr>
              <w:pStyle w:val="Compact"/>
              <w:jc w:val="right"/>
            </w:pPr>
            <w:r>
              <w:t xml:space="preserve">$188M</w:t>
            </w:r>
          </w:p>
        </w:tc>
        <w:tc>
          <w:tcPr/>
          <w:p>
            <w:pPr>
              <w:pStyle w:val="Compact"/>
              <w:jc w:val="right"/>
            </w:pPr>
            <w:r>
              <w:t xml:space="preserve">$451M</w:t>
            </w:r>
          </w:p>
        </w:tc>
      </w:tr>
    </w:tbl>
    <w:p>
      <w:pPr>
        <w:pStyle w:val="BodyText"/>
      </w:pPr>
      <w:r>
        <w:t xml:space="preserve">The market’s sales expectation is only modestly above management’s guidance, but the quality of the beat will matter. Optical growth, segment profitability, and forward guidance will carry more weight than a few cents of quarterly EPS upside.</w:t>
      </w:r>
    </w:p>
    <w:p>
      <w:r>
        <w:pict>
          <v:rect style="width:0;height:1.5pt" o:hralign="center" o:hrstd="t" o:hr="t"/>
        </w:pict>
      </w:r>
    </w:p>
    <w:bookmarkEnd w:id="10"/>
    <w:bookmarkStart w:id="13" w:name="X37fca4460f4d13e636b17a750f0e2c0ae713166"/>
    <w:p>
      <w:pPr>
        <w:pStyle w:val="Heading2"/>
      </w:pPr>
      <w:r>
        <w:t xml:space="preserve">1. Optical Communications is the center of the thesis</w:t>
      </w:r>
    </w:p>
    <w:p>
      <w:pPr>
        <w:pStyle w:val="FirstParagraph"/>
      </w:pPr>
      <w:r>
        <w:t xml:space="preserve">Optical Communications grew</w:t>
      </w:r>
      <w:r>
        <w:t xml:space="preserve"> </w:t>
      </w:r>
      <w:r>
        <w:rPr>
          <w:b/>
          <w:bCs/>
        </w:rPr>
        <w:t xml:space="preserve">36% year over year in Q1</w:t>
      </w:r>
      <w:r>
        <w:t xml:space="preserve">, to $1.85 billion, while segment net income rose 93% to $387 million. Both Enterprise and Carrier grew 36%.</w:t>
      </w:r>
    </w:p>
    <w:p>
      <w:pPr>
        <w:pStyle w:val="BodyText"/>
      </w:pPr>
      <w:r>
        <w:t xml:space="preserve">For Q2, the market is looking for approximately</w:t>
      </w:r>
      <w:r>
        <w:t xml:space="preserve"> </w:t>
      </w:r>
      <w:r>
        <w:rPr>
          <w:b/>
          <w:bCs/>
        </w:rPr>
        <w:t xml:space="preserve">$1.99 billion</w:t>
      </w:r>
      <w:r>
        <w:t xml:space="preserve">, implying:</w:t>
      </w:r>
    </w:p>
    <w:p>
      <w:pPr>
        <w:pStyle w:val="Compact"/>
        <w:numPr>
          <w:ilvl w:val="0"/>
          <w:numId w:val="1002"/>
        </w:numPr>
      </w:pPr>
      <w:r>
        <w:t xml:space="preserve">Roughly</w:t>
      </w:r>
      <w:r>
        <w:t xml:space="preserve"> </w:t>
      </w:r>
      <w:r>
        <w:rPr>
          <w:b/>
          <w:bCs/>
        </w:rPr>
        <w:t xml:space="preserve">27% year-over-year growth</w:t>
      </w:r>
    </w:p>
    <w:p>
      <w:pPr>
        <w:pStyle w:val="Compact"/>
        <w:numPr>
          <w:ilvl w:val="0"/>
          <w:numId w:val="1002"/>
        </w:numPr>
      </w:pPr>
      <w:r>
        <w:t xml:space="preserve">Approximately</w:t>
      </w:r>
      <w:r>
        <w:t xml:space="preserve"> </w:t>
      </w:r>
      <w:r>
        <w:rPr>
          <w:b/>
          <w:bCs/>
        </w:rPr>
        <w:t xml:space="preserve">8% sequential growth</w:t>
      </w:r>
    </w:p>
    <w:p>
      <w:pPr>
        <w:pStyle w:val="Compact"/>
        <w:numPr>
          <w:ilvl w:val="0"/>
          <w:numId w:val="1002"/>
        </w:numPr>
      </w:pPr>
      <w:r>
        <w:t xml:space="preserve">A modest deceleration from Q1’s exceptional rate, but still the strongest growth among Corning’s major businesses</w:t>
      </w:r>
    </w:p>
    <w:bookmarkStart w:id="11" w:name="what-investors-should-watch"/>
    <w:p>
      <w:pPr>
        <w:pStyle w:val="Heading3"/>
      </w:pPr>
      <w:r>
        <w:t xml:space="preserve">What investors should watch</w:t>
      </w:r>
    </w:p>
    <w:p>
      <w:pPr>
        <w:pStyle w:val="FirstParagraph"/>
      </w:pPr>
      <w:r>
        <w:rPr>
          <w:b/>
          <w:bCs/>
        </w:rPr>
        <w:t xml:space="preserve">Enterprise versus Carrier.</w:t>
      </w:r>
      <w:r>
        <w:br/>
      </w:r>
      <w:r>
        <w:t xml:space="preserve">Enterprise is the primary AI exposure, while Carrier includes fiber-to-the-home and data-center interconnect. Management has cautioned that Q1’s 36% Carrier growth should not be extrapolated mechanically. A strong report should show that Enterprise remains the principal driver even if Carrier normalizes.</w:t>
      </w:r>
    </w:p>
    <w:p>
      <w:pPr>
        <w:pStyle w:val="BodyText"/>
      </w:pPr>
      <w:r>
        <w:rPr>
          <w:b/>
          <w:bCs/>
        </w:rPr>
        <w:t xml:space="preserve">Optical margins.</w:t>
      </w:r>
      <w:r>
        <w:br/>
      </w:r>
      <w:r>
        <w:t xml:space="preserve">Q1 segment net income margin was approximately 21%, versus 16% a year earlier. Management attributes much of the improvement to richer product mix, integrated solutions and new innovations—not simply commodity fiber pricing. Continued margin expansion would support the argument that Corning is capturing more of the value created by increasingly complex AI networks.</w:t>
      </w:r>
    </w:p>
    <w:p>
      <w:pPr>
        <w:pStyle w:val="BodyText"/>
      </w:pPr>
      <w:r>
        <w:rPr>
          <w:b/>
          <w:bCs/>
        </w:rPr>
        <w:t xml:space="preserve">Capacity constraints and customer commitments.</w:t>
      </w:r>
      <w:r>
        <w:br/>
      </w:r>
      <w:r>
        <w:t xml:space="preserve">Corning says it is shipping as much optical product as it can make. It has announced:</w:t>
      </w:r>
    </w:p>
    <w:p>
      <w:pPr>
        <w:pStyle w:val="Compact"/>
        <w:numPr>
          <w:ilvl w:val="0"/>
          <w:numId w:val="1003"/>
        </w:numPr>
      </w:pPr>
      <w:r>
        <w:t xml:space="preserve">A multiyear agreement worth up to $6 billion with Meta</w:t>
      </w:r>
    </w:p>
    <w:p>
      <w:pPr>
        <w:pStyle w:val="Compact"/>
        <w:numPr>
          <w:ilvl w:val="0"/>
          <w:numId w:val="1003"/>
        </w:numPr>
      </w:pPr>
      <w:r>
        <w:t xml:space="preserve">Two additional hyperscale agreements described as similar in size and duration</w:t>
      </w:r>
    </w:p>
    <w:p>
      <w:pPr>
        <w:pStyle w:val="Compact"/>
        <w:numPr>
          <w:ilvl w:val="0"/>
          <w:numId w:val="1003"/>
        </w:numPr>
      </w:pPr>
      <w:r>
        <w:t xml:space="preserve">A long-term NVIDIA partnership under which Corning plans to increase U.S. optical-connectivity capacity tenfold and fiber capacity by more than 50%</w:t>
      </w:r>
    </w:p>
    <w:p>
      <w:pPr>
        <w:pStyle w:val="Compact"/>
        <w:numPr>
          <w:ilvl w:val="0"/>
          <w:numId w:val="1003"/>
        </w:numPr>
      </w:pPr>
      <w:r>
        <w:t xml:space="preserve">Three new U.S. manufacturing facilities and more than 3,000 planned jobs</w:t>
      </w:r>
    </w:p>
    <w:p>
      <w:pPr>
        <w:pStyle w:val="FirstParagraph"/>
      </w:pPr>
      <w:r>
        <w:t xml:space="preserve">Investors need evidence that these agreements are converting into near-term revenue without creating an excessive cash-flow burden.</w:t>
      </w:r>
    </w:p>
    <w:bookmarkEnd w:id="11"/>
    <w:bookmarkStart w:id="12" w:name="the-key-question-for-the-call"/>
    <w:p>
      <w:pPr>
        <w:pStyle w:val="Heading3"/>
      </w:pPr>
      <w:r>
        <w:t xml:space="preserve">The key question for the call</w:t>
      </w:r>
    </w:p>
    <w:p>
      <w:pPr>
        <w:pStyle w:val="FirstParagraph"/>
      </w:pPr>
      <w:r>
        <w:t xml:space="preserve">Is the current growth still largely conventional scale-out connectivity, or is Corning beginning to see incremental revenue from optical scale-up and early photonics products sooner than previously expected?</w:t>
      </w:r>
    </w:p>
    <w:p>
      <w:pPr>
        <w:pStyle w:val="BodyText"/>
      </w:pPr>
      <w:r>
        <w:t xml:space="preserve">Meaningful near-term progress in scale-up or co-packaged optics would be more important than a small Q2 beat because it would validate the May Investor Day targets.</w:t>
      </w:r>
    </w:p>
    <w:p>
      <w:r>
        <w:pict>
          <v:rect style="width:0;height:1.5pt" o:hralign="center" o:hrstd="t" o:hr="t"/>
        </w:pict>
      </w:r>
    </w:p>
    <w:bookmarkEnd w:id="12"/>
    <w:bookmarkEnd w:id="13"/>
    <w:bookmarkStart w:id="16" w:name="X46a83700c15b966a1d02453f4e10bb0b3859bce"/>
    <w:p>
      <w:pPr>
        <w:pStyle w:val="Heading2"/>
      </w:pPr>
      <w:r>
        <w:t xml:space="preserve">2. Solar is the principal execution risk</w:t>
      </w:r>
    </w:p>
    <w:p>
      <w:pPr>
        <w:pStyle w:val="FirstParagraph"/>
      </w:pPr>
      <w:r>
        <w:t xml:space="preserve">Solar sales rose 80% in Q1 to $370 million, but segment net income was only $7 million. The segment contains three distinct operations:</w:t>
      </w:r>
    </w:p>
    <w:p>
      <w:pPr>
        <w:pStyle w:val="Compact"/>
        <w:numPr>
          <w:ilvl w:val="0"/>
          <w:numId w:val="1004"/>
        </w:numPr>
      </w:pPr>
      <w:r>
        <w:t xml:space="preserve">Polysilicon</w:t>
      </w:r>
    </w:p>
    <w:p>
      <w:pPr>
        <w:pStyle w:val="Compact"/>
        <w:numPr>
          <w:ilvl w:val="0"/>
          <w:numId w:val="1004"/>
        </w:numPr>
      </w:pPr>
      <w:r>
        <w:t xml:space="preserve">Solar modules</w:t>
      </w:r>
    </w:p>
    <w:p>
      <w:pPr>
        <w:pStyle w:val="Compact"/>
        <w:numPr>
          <w:ilvl w:val="0"/>
          <w:numId w:val="1004"/>
        </w:numPr>
      </w:pPr>
      <w:r>
        <w:t xml:space="preserve">Solar ingots and wafers</w:t>
      </w:r>
    </w:p>
    <w:p>
      <w:pPr>
        <w:pStyle w:val="FirstParagraph"/>
      </w:pPr>
      <w:r>
        <w:t xml:space="preserve">Polysilicon was already operating above Corning’s 20% corporate operating-margin target in Q1. Management expected the module operation to cross that threshold in Q2. The problem remains the wafer facility.</w:t>
      </w:r>
    </w:p>
    <w:bookmarkStart w:id="14" w:name="what-went-wrong"/>
    <w:p>
      <w:pPr>
        <w:pStyle w:val="Heading3"/>
      </w:pPr>
      <w:r>
        <w:t xml:space="preserve">What went wrong</w:t>
      </w:r>
    </w:p>
    <w:p>
      <w:pPr>
        <w:pStyle w:val="FirstParagraph"/>
      </w:pPr>
      <w:r>
        <w:t xml:space="preserve">The facility was brought up rapidly using temporary power and water systems. Its production ramp fell behind Corning’s ambitious plan, leading to an extended Q2 shutdown to:</w:t>
      </w:r>
    </w:p>
    <w:p>
      <w:pPr>
        <w:pStyle w:val="Compact"/>
        <w:numPr>
          <w:ilvl w:val="0"/>
          <w:numId w:val="1005"/>
        </w:numPr>
      </w:pPr>
      <w:r>
        <w:t xml:space="preserve">Transition to permanent power</w:t>
      </w:r>
    </w:p>
    <w:p>
      <w:pPr>
        <w:pStyle w:val="Compact"/>
        <w:numPr>
          <w:ilvl w:val="0"/>
          <w:numId w:val="1005"/>
        </w:numPr>
      </w:pPr>
      <w:r>
        <w:t xml:space="preserve">Repair and upgrade equipment</w:t>
      </w:r>
    </w:p>
    <w:p>
      <w:pPr>
        <w:pStyle w:val="Compact"/>
        <w:numPr>
          <w:ilvl w:val="0"/>
          <w:numId w:val="1005"/>
        </w:numPr>
      </w:pPr>
      <w:r>
        <w:t xml:space="preserve">Increase future throughput</w:t>
      </w:r>
    </w:p>
    <w:p>
      <w:pPr>
        <w:pStyle w:val="FirstParagraph"/>
      </w:pPr>
      <w:r>
        <w:t xml:space="preserve">Management included</w:t>
      </w:r>
      <w:r>
        <w:t xml:space="preserve"> </w:t>
      </w:r>
      <m:oMath>
        <m:r>
          <m:t>30</m:t>
        </m:r>
        <m:r>
          <m:t>m</m:t>
        </m:r>
        <m:r>
          <m:t>i</m:t>
        </m:r>
        <m:r>
          <m:t>l</m:t>
        </m:r>
        <m:r>
          <m:t>l</m:t>
        </m:r>
        <m:r>
          <m:t>i</m:t>
        </m:r>
        <m:r>
          <m:t>o</m:t>
        </m:r>
        <m:r>
          <m:t>n</m:t>
        </m:r>
        <m:r>
          <m:t>o</m:t>
        </m:r>
        <m:r>
          <m:t>f</m:t>
        </m:r>
        <m:r>
          <m:t>i</m:t>
        </m:r>
        <m:r>
          <m:t>n</m:t>
        </m:r>
        <m:r>
          <m:t>c</m:t>
        </m:r>
        <m:r>
          <m:t>r</m:t>
        </m:r>
        <m:r>
          <m:t>e</m:t>
        </m:r>
        <m:r>
          <m:t>m</m:t>
        </m:r>
        <m:r>
          <m:t>e</m:t>
        </m:r>
        <m:r>
          <m:t>n</m:t>
        </m:r>
        <m:r>
          <m:t>t</m:t>
        </m:r>
        <m:r>
          <m:t>a</m:t>
        </m:r>
        <m:r>
          <m:t>l</m:t>
        </m:r>
        <m:r>
          <m:t>Q</m:t>
        </m:r>
        <m:r>
          <m:t>2</m:t>
        </m:r>
        <m:r>
          <m:t>e</m:t>
        </m:r>
        <m:r>
          <m:t>x</m:t>
        </m:r>
        <m:r>
          <m:t>p</m:t>
        </m:r>
        <m:r>
          <m:t>e</m:t>
        </m:r>
        <m:r>
          <m:t>n</m:t>
        </m:r>
        <m:r>
          <m:t>s</m:t>
        </m:r>
        <m:r>
          <m:t>e</m:t>
        </m:r>
        <m:r>
          <m:t>v</m:t>
        </m:r>
        <m:r>
          <m:t>e</m:t>
        </m:r>
        <m:r>
          <m:t>r</m:t>
        </m:r>
        <m:r>
          <m:t>s</m:t>
        </m:r>
        <m:r>
          <m:t>u</m:t>
        </m:r>
        <m:r>
          <m:t>s</m:t>
        </m:r>
        <m:r>
          <m:t>Q</m:t>
        </m:r>
        <m:r>
          <m:t>1</m:t>
        </m:r>
        <m:r>
          <m:rPr>
            <m:sty m:val="p"/>
          </m:rPr>
          <m:t>*</m:t>
        </m:r>
        <m:r>
          <m:rPr>
            <m:sty m:val="p"/>
          </m:rPr>
          <m:t>*</m:t>
        </m:r>
        <m:r>
          <m:t>i</m:t>
        </m:r>
        <m:r>
          <m:t>n</m:t>
        </m:r>
        <m:r>
          <m:t>g</m:t>
        </m:r>
        <m:r>
          <m:t>u</m:t>
        </m:r>
        <m:r>
          <m:t>i</m:t>
        </m:r>
        <m:r>
          <m:t>d</m:t>
        </m:r>
        <m:r>
          <m:t>a</m:t>
        </m:r>
        <m:r>
          <m:t>n</m:t>
        </m:r>
        <m:r>
          <m:t>c</m:t>
        </m:r>
        <m:r>
          <m:t>e</m:t>
        </m:r>
        <m:r>
          <m:rPr>
            <m:sty m:val="p"/>
          </m:rPr>
          <m:t>.</m:t>
        </m:r>
        <m:r>
          <m:t>C</m:t>
        </m:r>
        <m:r>
          <m:t>o</m:t>
        </m:r>
        <m:r>
          <m:t>m</m:t>
        </m:r>
        <m:r>
          <m:t>b</m:t>
        </m:r>
        <m:r>
          <m:t>i</m:t>
        </m:r>
        <m:r>
          <m:t>n</m:t>
        </m:r>
        <m:r>
          <m:t>e</m:t>
        </m:r>
        <m:r>
          <m:t>d</m:t>
        </m:r>
        <m:r>
          <m:t>w</m:t>
        </m:r>
        <m:r>
          <m:t>i</m:t>
        </m:r>
        <m:r>
          <m:t>t</m:t>
        </m:r>
        <m:r>
          <m:t>h</m:t>
        </m:r>
        <m:r>
          <m:t>t</m:t>
        </m:r>
        <m:r>
          <m:t>h</m:t>
        </m:r>
        <m:r>
          <m:t>e</m:t>
        </m:r>
        <m:r>
          <m:t>u</m:t>
        </m:r>
        <m:r>
          <m:t>n</m:t>
        </m:r>
        <m:r>
          <m:t>d</m:t>
        </m:r>
        <m:r>
          <m:t>e</m:t>
        </m:r>
        <m:r>
          <m:t>r</m:t>
        </m:r>
        <m:r>
          <m:t>l</m:t>
        </m:r>
        <m:r>
          <m:t>y</m:t>
        </m:r>
        <m:r>
          <m:t>i</m:t>
        </m:r>
        <m:r>
          <m:t>n</m:t>
        </m:r>
        <m:r>
          <m:t>g</m:t>
        </m:r>
        <m:r>
          <m:t>w</m:t>
        </m:r>
        <m:r>
          <m:t>a</m:t>
        </m:r>
        <m:r>
          <m:t>f</m:t>
        </m:r>
        <m:r>
          <m:t>e</m:t>
        </m:r>
        <m:r>
          <m:t>r</m:t>
        </m:r>
        <m:r>
          <m:rPr>
            <m:sty m:val="p"/>
          </m:rPr>
          <m:t>−</m:t>
        </m:r>
        <m:r>
          <m:t>r</m:t>
        </m:r>
        <m:r>
          <m:t>a</m:t>
        </m:r>
        <m:r>
          <m:t>m</m:t>
        </m:r>
        <m:r>
          <m:t>p</m:t>
        </m:r>
        <m:r>
          <m:t>d</m:t>
        </m:r>
        <m:r>
          <m:t>r</m:t>
        </m:r>
        <m:r>
          <m:t>a</m:t>
        </m:r>
        <m:r>
          <m:t>g</m:t>
        </m:r>
        <m:r>
          <m:rPr>
            <m:sty m:val="p"/>
          </m:rPr>
          <m:t>,</m:t>
        </m:r>
        <m:r>
          <m:t>t</m:t>
        </m:r>
        <m:r>
          <m:t>h</m:t>
        </m:r>
        <m:r>
          <m:t>e</m:t>
        </m:r>
        <m:r>
          <m:t>t</m:t>
        </m:r>
        <m:r>
          <m:t>o</m:t>
        </m:r>
        <m:r>
          <m:t>t</m:t>
        </m:r>
        <m:r>
          <m:t>a</m:t>
        </m:r>
        <m:r>
          <m:t>l</m:t>
        </m:r>
        <m:r>
          <m:t>Q</m:t>
        </m:r>
        <m:r>
          <m:t>2</m:t>
        </m:r>
        <m:r>
          <m:t>E</m:t>
        </m:r>
        <m:r>
          <m:t>P</m:t>
        </m:r>
        <m:r>
          <m:t>S</m:t>
        </m:r>
        <m:r>
          <m:t>i</m:t>
        </m:r>
        <m:r>
          <m:t>m</m:t>
        </m:r>
        <m:r>
          <m:t>p</m:t>
        </m:r>
        <m:r>
          <m:t>a</m:t>
        </m:r>
        <m:r>
          <m:t>c</m:t>
        </m:r>
        <m:r>
          <m:t>t</m:t>
        </m:r>
        <m:r>
          <m:t>w</m:t>
        </m:r>
        <m:r>
          <m:t>a</m:t>
        </m:r>
        <m:r>
          <m:t>s</m:t>
        </m:r>
        <m:r>
          <m:t>e</m:t>
        </m:r>
        <m:r>
          <m:t>x</m:t>
        </m:r>
        <m:r>
          <m:t>p</m:t>
        </m:r>
        <m:r>
          <m:t>e</m:t>
        </m:r>
        <m:r>
          <m:t>c</m:t>
        </m:r>
        <m:r>
          <m:t>t</m:t>
        </m:r>
        <m:r>
          <m:t>e</m:t>
        </m:r>
        <m:r>
          <m:t>d</m:t>
        </m:r>
        <m:r>
          <m:t>t</m:t>
        </m:r>
        <m:r>
          <m:t>o</m:t>
        </m:r>
        <m:r>
          <m:t>b</m:t>
        </m:r>
        <m:r>
          <m:t>e</m:t>
        </m:r>
        <m:r>
          <m:t>a</m:t>
        </m:r>
        <m:r>
          <m:t>p</m:t>
        </m:r>
        <m:r>
          <m:t>p</m:t>
        </m:r>
        <m:r>
          <m:t>r</m:t>
        </m:r>
        <m:r>
          <m:t>o</m:t>
        </m:r>
        <m:r>
          <m:t>x</m:t>
        </m:r>
        <m:r>
          <m:t>i</m:t>
        </m:r>
        <m:r>
          <m:t>m</m:t>
        </m:r>
        <m:r>
          <m:t>a</m:t>
        </m:r>
        <m:r>
          <m:t>t</m:t>
        </m:r>
        <m:r>
          <m:t>e</m:t>
        </m:r>
        <m:r>
          <m:t>l</m:t>
        </m:r>
        <m:r>
          <m:t>y</m:t>
        </m:r>
        <m:r>
          <m:rPr>
            <m:sty m:val="p"/>
          </m:rPr>
          <m:t>*</m:t>
        </m:r>
        <m:r>
          <m:rPr>
            <m:sty m:val="p"/>
          </m:rPr>
          <m:t>*</m:t>
        </m:r>
      </m:oMath>
      <w:r>
        <w:rPr>
          <w:b/>
          <w:bCs/>
        </w:rPr>
        <w:t xml:space="preserve">0.07</w:t>
      </w:r>
      <w:r>
        <w:t xml:space="preserve">.</w:t>
      </w:r>
    </w:p>
    <w:bookmarkEnd w:id="14"/>
    <w:bookmarkStart w:id="15" w:name="why-the-update-matters"/>
    <w:p>
      <w:pPr>
        <w:pStyle w:val="Heading3"/>
      </w:pPr>
      <w:r>
        <w:t xml:space="preserve">Why the update matters</w:t>
      </w:r>
    </w:p>
    <w:p>
      <w:pPr>
        <w:pStyle w:val="FirstParagraph"/>
      </w:pPr>
      <w:r>
        <w:t xml:space="preserve">The shutdown cost is already embedded in guidance, so the important issue is not the Q2 charge itself. It is whether:</w:t>
      </w:r>
    </w:p>
    <w:p>
      <w:pPr>
        <w:pStyle w:val="Compact"/>
        <w:numPr>
          <w:ilvl w:val="0"/>
          <w:numId w:val="1006"/>
        </w:numPr>
      </w:pPr>
      <w:r>
        <w:t xml:space="preserve">The plant has restarted—or has a firm restart timetable</w:t>
      </w:r>
    </w:p>
    <w:p>
      <w:pPr>
        <w:pStyle w:val="Compact"/>
        <w:numPr>
          <w:ilvl w:val="0"/>
          <w:numId w:val="1006"/>
        </w:numPr>
      </w:pPr>
      <w:r>
        <w:t xml:space="preserve">Production yields and daily wafer output are improving</w:t>
      </w:r>
    </w:p>
    <w:p>
      <w:pPr>
        <w:pStyle w:val="Compact"/>
        <w:numPr>
          <w:ilvl w:val="0"/>
          <w:numId w:val="1006"/>
        </w:numPr>
      </w:pPr>
      <w:r>
        <w:t xml:space="preserve">Additional costs will spill into Q3</w:t>
      </w:r>
    </w:p>
    <w:p>
      <w:pPr>
        <w:pStyle w:val="Compact"/>
        <w:numPr>
          <w:ilvl w:val="0"/>
          <w:numId w:val="1006"/>
        </w:numPr>
      </w:pPr>
      <w:r>
        <w:t xml:space="preserve">Management remains confident in exceeding $3 billion of Solar segment sales within the Springboard planning period</w:t>
      </w:r>
    </w:p>
    <w:p>
      <w:pPr>
        <w:pStyle w:val="Compact"/>
        <w:numPr>
          <w:ilvl w:val="0"/>
          <w:numId w:val="1006"/>
        </w:numPr>
      </w:pPr>
      <w:r>
        <w:t xml:space="preserve">Solar can eventually earn margins above the corporate average</w:t>
      </w:r>
    </w:p>
    <w:p>
      <w:pPr>
        <w:pStyle w:val="FirstParagraph"/>
      </w:pPr>
      <w:r>
        <w:t xml:space="preserve">A further delay would weaken confidence in Corning’s execution and could postpone the next leg of company-wide margin expansion. Conversely, a credible restart and sequential improvement plan could remove one of the stock’s largest near-term overhangs.</w:t>
      </w:r>
    </w:p>
    <w:p>
      <w:r>
        <w:pict>
          <v:rect style="width:0;height:1.5pt" o:hralign="center" o:hrstd="t" o:hr="t"/>
        </w:pict>
      </w:r>
    </w:p>
    <w:bookmarkEnd w:id="15"/>
    <w:bookmarkEnd w:id="16"/>
    <w:bookmarkStart w:id="19" w:name="X9dffa170be722d8c11d66704a47693eec64bd8d"/>
    <w:p>
      <w:pPr>
        <w:pStyle w:val="Heading2"/>
      </w:pPr>
      <w:r>
        <w:t xml:space="preserve">3. The forward outlook matters more than the Q2 result</w:t>
      </w:r>
    </w:p>
    <w:p>
      <w:pPr>
        <w:pStyle w:val="FirstParagraph"/>
      </w:pPr>
      <w:r>
        <w:t xml:space="preserve">At its May Investor Day, Corning dramatically increased its long-term ambitions.</w:t>
      </w:r>
    </w:p>
    <w:bookmarkStart w:id="17" w:name="updated-springboard-targets"/>
    <w:p>
      <w:pPr>
        <w:pStyle w:val="Heading3"/>
      </w:pPr>
      <w:r>
        <w:t xml:space="preserve">Updated Springboard targets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Annualized sales run rate</w:t>
            </w:r>
          </w:p>
        </w:tc>
        <w:tc>
          <w:tcPr/>
          <w:p>
            <w:pPr>
              <w:pStyle w:val="Compact"/>
              <w:jc w:val="right"/>
            </w:pPr>
            <w:r>
              <w:t xml:space="preserve">High-confidence plan</w:t>
            </w:r>
          </w:p>
        </w:tc>
        <w:tc>
          <w:tcPr/>
          <w:p>
            <w:pPr>
              <w:pStyle w:val="Compact"/>
              <w:jc w:val="right"/>
            </w:pPr>
            <w:r>
              <w:t xml:space="preserve">Internal plan</w:t>
            </w:r>
          </w:p>
        </w:tc>
      </w:tr>
      <w:tr>
        <w:tc>
          <w:tcPr/>
          <w:p>
            <w:pPr>
              <w:pStyle w:val="Compact"/>
            </w:pPr>
            <w:r>
              <w:t xml:space="preserve">End of 2028</w:t>
            </w:r>
          </w:p>
        </w:tc>
        <w:tc>
          <w:tcPr/>
          <w:p>
            <w:pPr>
              <w:pStyle w:val="Compact"/>
              <w:jc w:val="right"/>
            </w:pPr>
            <w:r>
              <w:rPr>
                <w:b/>
                <w:bCs/>
              </w:rPr>
              <w:t xml:space="preserve">$27B</w:t>
            </w:r>
          </w:p>
        </w:tc>
        <w:tc>
          <w:tcPr/>
          <w:p>
            <w:pPr>
              <w:pStyle w:val="Compact"/>
              <w:jc w:val="right"/>
            </w:pPr>
            <w:r>
              <w:rPr>
                <w:b/>
                <w:bCs/>
              </w:rPr>
              <w:t xml:space="preserve">$30B</w:t>
            </w:r>
          </w:p>
        </w:tc>
      </w:tr>
      <w:tr>
        <w:tc>
          <w:tcPr/>
          <w:p>
            <w:pPr>
              <w:pStyle w:val="Compact"/>
            </w:pPr>
            <w:r>
              <w:t xml:space="preserve">End of 2030</w:t>
            </w:r>
          </w:p>
        </w:tc>
        <w:tc>
          <w:tcPr/>
          <w:p>
            <w:pPr>
              <w:pStyle w:val="Compact"/>
              <w:jc w:val="right"/>
            </w:pPr>
            <w:r>
              <w:rPr>
                <w:b/>
                <w:bCs/>
              </w:rPr>
              <w:t xml:space="preserve">$35B</w:t>
            </w:r>
          </w:p>
        </w:tc>
        <w:tc>
          <w:tcPr/>
          <w:p>
            <w:pPr>
              <w:pStyle w:val="Compact"/>
              <w:jc w:val="right"/>
            </w:pPr>
            <w:r>
              <w:rPr>
                <w:b/>
                <w:bCs/>
              </w:rPr>
              <w:t xml:space="preserve">$40B</w:t>
            </w:r>
          </w:p>
        </w:tc>
      </w:tr>
    </w:tbl>
    <w:p>
      <w:pPr>
        <w:pStyle w:val="BodyText"/>
      </w:pPr>
      <w:r>
        <w:t xml:space="preserve">Management also expects:</w:t>
      </w:r>
    </w:p>
    <w:p>
      <w:pPr>
        <w:pStyle w:val="Compact"/>
        <w:numPr>
          <w:ilvl w:val="0"/>
          <w:numId w:val="1007"/>
        </w:numPr>
      </w:pPr>
      <w:r>
        <w:t xml:space="preserve">Operating margin to remain</w:t>
      </w:r>
      <w:r>
        <w:t xml:space="preserve"> </w:t>
      </w:r>
      <w:r>
        <w:rPr>
          <w:b/>
          <w:bCs/>
        </w:rPr>
        <w:t xml:space="preserve">at or above 20%</w:t>
      </w:r>
    </w:p>
    <w:p>
      <w:pPr>
        <w:pStyle w:val="Compact"/>
        <w:numPr>
          <w:ilvl w:val="0"/>
          <w:numId w:val="1007"/>
        </w:numPr>
      </w:pPr>
      <w:r>
        <w:t xml:space="preserve">EPS to grow faster than sales</w:t>
      </w:r>
    </w:p>
    <w:p>
      <w:pPr>
        <w:pStyle w:val="Compact"/>
        <w:numPr>
          <w:ilvl w:val="0"/>
          <w:numId w:val="1007"/>
        </w:numPr>
      </w:pPr>
      <w:r>
        <w:t xml:space="preserve">ROIC to improve from the mid-teens toward the high teens</w:t>
      </w:r>
    </w:p>
    <w:p>
      <w:pPr>
        <w:pStyle w:val="Compact"/>
        <w:numPr>
          <w:ilvl w:val="0"/>
          <w:numId w:val="1007"/>
        </w:numPr>
      </w:pPr>
      <w:r>
        <w:t xml:space="preserve">Free cash flow to grow despite higher capital spending</w:t>
      </w:r>
    </w:p>
    <w:p>
      <w:pPr>
        <w:pStyle w:val="Compact"/>
        <w:numPr>
          <w:ilvl w:val="0"/>
          <w:numId w:val="1007"/>
        </w:numPr>
      </w:pPr>
      <w:r>
        <w:t xml:space="preserve">Customer commitments and funding to reduce the risk of capacity investments</w:t>
      </w:r>
    </w:p>
    <w:p>
      <w:pPr>
        <w:pStyle w:val="FirstParagraph"/>
      </w:pPr>
      <w:r>
        <w:t xml:space="preserve">Q2 will be the first regular earnings update since those targets were presented. Investors will therefore examine the Q3 and second-half outlook for evidence that the company is already moving toward the required growth trajectory.</w:t>
      </w:r>
    </w:p>
    <w:bookmarkEnd w:id="17"/>
    <w:bookmarkStart w:id="18" w:name="a-constructive-outlook-would-include"/>
    <w:p>
      <w:pPr>
        <w:pStyle w:val="Heading3"/>
      </w:pPr>
      <w:r>
        <w:t xml:space="preserve">A constructive outlook would include</w:t>
      </w:r>
    </w:p>
    <w:p>
      <w:pPr>
        <w:pStyle w:val="Compact"/>
        <w:numPr>
          <w:ilvl w:val="0"/>
          <w:numId w:val="1008"/>
        </w:numPr>
      </w:pPr>
      <w:r>
        <w:t xml:space="preserve">Continued double-digit company-wide sales growth</w:t>
      </w:r>
    </w:p>
    <w:p>
      <w:pPr>
        <w:pStyle w:val="Compact"/>
        <w:numPr>
          <w:ilvl w:val="0"/>
          <w:numId w:val="1008"/>
        </w:numPr>
      </w:pPr>
      <w:r>
        <w:t xml:space="preserve">Optical growth materially above the corporate average</w:t>
      </w:r>
    </w:p>
    <w:p>
      <w:pPr>
        <w:pStyle w:val="Compact"/>
        <w:numPr>
          <w:ilvl w:val="0"/>
          <w:numId w:val="1008"/>
        </w:numPr>
      </w:pPr>
      <w:r>
        <w:t xml:space="preserve">Stable or expanding operating margin despite solar and photonics investment</w:t>
      </w:r>
    </w:p>
    <w:p>
      <w:pPr>
        <w:pStyle w:val="Compact"/>
        <w:numPr>
          <w:ilvl w:val="0"/>
          <w:numId w:val="1008"/>
        </w:numPr>
      </w:pPr>
      <w:r>
        <w:t xml:space="preserve">Sequential improvement in solar costs during Q3</w:t>
      </w:r>
    </w:p>
    <w:p>
      <w:pPr>
        <w:pStyle w:val="Compact"/>
        <w:numPr>
          <w:ilvl w:val="0"/>
          <w:numId w:val="1008"/>
        </w:numPr>
      </w:pPr>
      <w:r>
        <w:t xml:space="preserve">Reaffirmation that 2026 free cash flow will be significantly above 2025</w:t>
      </w:r>
    </w:p>
    <w:p>
      <w:pPr>
        <w:pStyle w:val="Compact"/>
        <w:numPr>
          <w:ilvl w:val="0"/>
          <w:numId w:val="1008"/>
        </w:numPr>
      </w:pPr>
      <w:r>
        <w:t xml:space="preserve">No softening of the 2028 and 2030 Springboard plans</w:t>
      </w:r>
    </w:p>
    <w:p>
      <w:pPr>
        <w:pStyle w:val="FirstParagraph"/>
      </w:pPr>
      <w:r>
        <w:t xml:space="preserve">The market may react poorly to guidance that merely meets ordinary seasonal expectations, given the magnitude of the long-term targets.</w:t>
      </w:r>
    </w:p>
    <w:p>
      <w:r>
        <w:pict>
          <v:rect style="width:0;height:1.5pt" o:hralign="center" o:hrstd="t" o:hr="t"/>
        </w:pict>
      </w:r>
    </w:p>
    <w:bookmarkEnd w:id="18"/>
    <w:bookmarkEnd w:id="19"/>
    <w:bookmarkStart w:id="20" w:name="X346af63d58b5711f5c9660c42e4aa6840e5be3d"/>
    <w:p>
      <w:pPr>
        <w:pStyle w:val="Heading2"/>
      </w:pPr>
      <w:r>
        <w:t xml:space="preserve">4. Glass Innovations should provide stability, not the headline</w:t>
      </w:r>
    </w:p>
    <w:p>
      <w:pPr>
        <w:pStyle w:val="FirstParagraph"/>
      </w:pPr>
      <w:r>
        <w:t xml:space="preserve">The new Glass Innovations segment combines the former Display and Specialty Materials businesses. Q1 sales were $1.42 billion, up 1%, with a healthy 22.8% segment net income margin.</w:t>
      </w:r>
    </w:p>
    <w:p>
      <w:pPr>
        <w:pStyle w:val="BodyText"/>
      </w:pPr>
      <w:r>
        <w:t xml:space="preserve">Management’s planning assumptions include flat TV, smartphone and IT end markets, with Corning relying on content gains and product innovation rather than end-market unit growth.</w:t>
      </w:r>
    </w:p>
    <w:p>
      <w:pPr>
        <w:pStyle w:val="BodyText"/>
      </w:pPr>
      <w:r>
        <w:t xml:space="preserve">Important variables include:</w:t>
      </w:r>
    </w:p>
    <w:p>
      <w:pPr>
        <w:pStyle w:val="Compact"/>
        <w:numPr>
          <w:ilvl w:val="0"/>
          <w:numId w:val="1009"/>
        </w:numPr>
      </w:pPr>
      <w:r>
        <w:t xml:space="preserve">Display pricing and volume</w:t>
      </w:r>
    </w:p>
    <w:p>
      <w:pPr>
        <w:pStyle w:val="Compact"/>
        <w:numPr>
          <w:ilvl w:val="0"/>
          <w:numId w:val="1009"/>
        </w:numPr>
      </w:pPr>
      <w:r>
        <w:t xml:space="preserve">Demand for premium Gorilla Glass products</w:t>
      </w:r>
    </w:p>
    <w:p>
      <w:pPr>
        <w:pStyle w:val="Compact"/>
        <w:numPr>
          <w:ilvl w:val="0"/>
          <w:numId w:val="1009"/>
        </w:numPr>
      </w:pPr>
      <w:r>
        <w:t xml:space="preserve">The impact of elevated memory prices on smartphone and PC production</w:t>
      </w:r>
    </w:p>
    <w:p>
      <w:pPr>
        <w:pStyle w:val="Compact"/>
        <w:numPr>
          <w:ilvl w:val="0"/>
          <w:numId w:val="1009"/>
        </w:numPr>
      </w:pPr>
      <w:r>
        <w:t xml:space="preserve">Semiconductor-related demand, including EUV lithography products</w:t>
      </w:r>
    </w:p>
    <w:p>
      <w:pPr>
        <w:pStyle w:val="Compact"/>
        <w:numPr>
          <w:ilvl w:val="0"/>
          <w:numId w:val="1009"/>
        </w:numPr>
      </w:pPr>
      <w:r>
        <w:t xml:space="preserve">Currency effects, especially the Japanese yen</w:t>
      </w:r>
    </w:p>
    <w:p>
      <w:pPr>
        <w:pStyle w:val="FirstParagraph"/>
      </w:pPr>
      <w:r>
        <w:t xml:space="preserve">A stable quarter with margins above 20% would be sufficient. Material weakness would be more concerning because the segment is supposed to act as a profitable base while Optical and Solar scale.</w:t>
      </w:r>
    </w:p>
    <w:p>
      <w:r>
        <w:pict>
          <v:rect style="width:0;height:1.5pt" o:hralign="center" o:hrstd="t" o:hr="t"/>
        </w:pict>
      </w:r>
    </w:p>
    <w:bookmarkEnd w:id="20"/>
    <w:bookmarkStart w:id="21" w:name="X69c9b438a37cabb889da0c49fc7daf2bfc2c6a1"/>
    <w:p>
      <w:pPr>
        <w:pStyle w:val="Heading2"/>
      </w:pPr>
      <w:r>
        <w:t xml:space="preserve">5. Cash flow and capital intensity need scrutiny</w:t>
      </w:r>
    </w:p>
    <w:p>
      <w:pPr>
        <w:pStyle w:val="FirstParagraph"/>
      </w:pPr>
      <w:r>
        <w:t xml:space="preserve">Corning generated only $188 million of adjusted free cash flow in Q1, although the first quarter is typically not its strongest cash-flow period. Inventories increased by $232 million, and capital expenditures were $332 million.</w:t>
      </w:r>
    </w:p>
    <w:p>
      <w:pPr>
        <w:pStyle w:val="BodyText"/>
      </w:pPr>
      <w:r>
        <w:t xml:space="preserve">Management previously indicated:</w:t>
      </w:r>
    </w:p>
    <w:p>
      <w:pPr>
        <w:pStyle w:val="Compact"/>
        <w:numPr>
          <w:ilvl w:val="0"/>
          <w:numId w:val="1010"/>
        </w:numPr>
      </w:pPr>
      <w:r>
        <w:t xml:space="preserve">2026 capital spending of approximately</w:t>
      </w:r>
      <w:r>
        <w:t xml:space="preserve"> </w:t>
      </w:r>
      <w:r>
        <w:rPr>
          <w:b/>
          <w:bCs/>
        </w:rPr>
        <w:t xml:space="preserve">$1.7 billion</w:t>
      </w:r>
      <w:r>
        <w:t xml:space="preserve">, possibly somewhat higher</w:t>
      </w:r>
    </w:p>
    <w:p>
      <w:pPr>
        <w:pStyle w:val="Compact"/>
        <w:numPr>
          <w:ilvl w:val="0"/>
          <w:numId w:val="1010"/>
        </w:numPr>
      </w:pPr>
      <w:r>
        <w:t xml:space="preserve">Capital expenditures should rise further in 2027 and 2028</w:t>
      </w:r>
    </w:p>
    <w:p>
      <w:pPr>
        <w:pStyle w:val="Compact"/>
        <w:numPr>
          <w:ilvl w:val="0"/>
          <w:numId w:val="1010"/>
        </w:numPr>
      </w:pPr>
      <w:r>
        <w:t xml:space="preserve">Operating cash flow should grow faster than capital expenditures</w:t>
      </w:r>
    </w:p>
    <w:p>
      <w:pPr>
        <w:pStyle w:val="Compact"/>
        <w:numPr>
          <w:ilvl w:val="0"/>
          <w:numId w:val="1010"/>
        </w:numPr>
      </w:pPr>
      <w:r>
        <w:t xml:space="preserve">Customer funding, deposits, guaranteed revenue and other risk-sharing mechanisms should help finance expansion</w:t>
      </w:r>
    </w:p>
    <w:p>
      <w:pPr>
        <w:pStyle w:val="FirstParagraph"/>
      </w:pPr>
      <w:r>
        <w:t xml:space="preserve">That framework is critical. Corning’s AI opportunity is attractive partly because management says the new Optical investments should generate high returns without producing the type of prolonged free-cash-flow trough associated with earlier expansion cycles.</w:t>
      </w:r>
    </w:p>
    <w:p>
      <w:pPr>
        <w:pStyle w:val="BodyText"/>
      </w:pPr>
      <w:r>
        <w:t xml:space="preserve">Investors should look for:</w:t>
      </w:r>
    </w:p>
    <w:p>
      <w:pPr>
        <w:pStyle w:val="Compact"/>
        <w:numPr>
          <w:ilvl w:val="0"/>
          <w:numId w:val="1011"/>
        </w:numPr>
      </w:pPr>
      <w:r>
        <w:t xml:space="preserve">Q2 working-capital normalization</w:t>
      </w:r>
    </w:p>
    <w:p>
      <w:pPr>
        <w:pStyle w:val="Compact"/>
        <w:numPr>
          <w:ilvl w:val="0"/>
          <w:numId w:val="1011"/>
        </w:numPr>
      </w:pPr>
      <w:r>
        <w:t xml:space="preserve">Customer deposits or other financing support</w:t>
      </w:r>
    </w:p>
    <w:p>
      <w:pPr>
        <w:pStyle w:val="Compact"/>
        <w:numPr>
          <w:ilvl w:val="0"/>
          <w:numId w:val="1011"/>
        </w:numPr>
      </w:pPr>
      <w:r>
        <w:t xml:space="preserve">An updated 2026 capital-spending range</w:t>
      </w:r>
    </w:p>
    <w:p>
      <w:pPr>
        <w:pStyle w:val="Compact"/>
        <w:numPr>
          <w:ilvl w:val="0"/>
          <w:numId w:val="1011"/>
        </w:numPr>
      </w:pPr>
      <w:r>
        <w:t xml:space="preserve">Quantification of the expected year-over-year free-cash-flow increase</w:t>
      </w:r>
    </w:p>
    <w:p>
      <w:pPr>
        <w:pStyle w:val="Compact"/>
        <w:numPr>
          <w:ilvl w:val="0"/>
          <w:numId w:val="1011"/>
        </w:numPr>
      </w:pPr>
      <w:r>
        <w:t xml:space="preserve">Confirmation that buybacks remain secondary to funding organic growth</w:t>
      </w:r>
    </w:p>
    <w:p>
      <w:r>
        <w:pict>
          <v:rect style="width:0;height:1.5pt" o:hralign="center" o:hrstd="t" o:hr="t"/>
        </w:pict>
      </w:r>
    </w:p>
    <w:bookmarkEnd w:id="21"/>
    <w:bookmarkStart w:id="22" w:name="stock-setup"/>
    <w:p>
      <w:pPr>
        <w:pStyle w:val="Heading2"/>
      </w:pPr>
      <w:r>
        <w:t xml:space="preserve">Stock setup</w:t>
      </w:r>
    </w:p>
    <w:p>
      <w:pPr>
        <w:pStyle w:val="FirstParagraph"/>
      </w:pPr>
      <w:r>
        <w:t xml:space="preserve">GLW closed at approximately</w:t>
      </w:r>
      <w:r>
        <w:t xml:space="preserve"> </w:t>
      </w:r>
      <w:r>
        <w:rPr>
          <w:b/>
          <w:bCs/>
        </w:rPr>
        <w:t xml:space="preserve">$143.39 on July 27</w:t>
      </w:r>
      <w:r>
        <w:t xml:space="preserve">.</w:t>
      </w:r>
    </w:p>
    <w:p>
      <w:pPr>
        <w:pStyle w:val="BodyText"/>
      </w:pPr>
      <w:r>
        <w:t xml:space="preserve">Based on available price data, the stock was:</w:t>
      </w:r>
    </w:p>
    <w:p>
      <w:pPr>
        <w:pStyle w:val="Compact"/>
        <w:numPr>
          <w:ilvl w:val="0"/>
          <w:numId w:val="1012"/>
        </w:numPr>
      </w:pPr>
      <w:r>
        <w:t xml:space="preserve">Up roughly</w:t>
      </w:r>
      <w:r>
        <w:t xml:space="preserve"> </w:t>
      </w:r>
      <w:r>
        <w:rPr>
          <w:b/>
          <w:bCs/>
        </w:rPr>
        <w:t xml:space="preserve">58% from the beginning of 2026</w:t>
      </w:r>
    </w:p>
    <w:p>
      <w:pPr>
        <w:pStyle w:val="Compact"/>
        <w:numPr>
          <w:ilvl w:val="0"/>
          <w:numId w:val="1012"/>
        </w:numPr>
      </w:pPr>
      <w:r>
        <w:t xml:space="preserve">Down approximately</w:t>
      </w:r>
      <w:r>
        <w:t xml:space="preserve"> </w:t>
      </w:r>
      <w:r>
        <w:rPr>
          <w:b/>
          <w:bCs/>
        </w:rPr>
        <w:t xml:space="preserve">44% from its June 29 high near $255.69</w:t>
      </w:r>
    </w:p>
    <w:p>
      <w:pPr>
        <w:pStyle w:val="Compact"/>
        <w:numPr>
          <w:ilvl w:val="0"/>
          <w:numId w:val="1012"/>
        </w:numPr>
      </w:pPr>
      <w:r>
        <w:t xml:space="preserve">Below its level immediately following the May Investor Day</w:t>
      </w:r>
    </w:p>
    <w:p>
      <w:pPr>
        <w:pStyle w:val="FirstParagraph"/>
      </w:pPr>
      <w:r>
        <w:t xml:space="preserve">The sharp pullback reduces the valuation and positioning risk compared with the June peak. Nevertheless, sentiment around Corning’s AI exposure remains bullish, and investors still expect powerful Optical growth.</w:t>
      </w:r>
    </w:p>
    <w:p>
      <w:pPr>
        <w:pStyle w:val="BodyText"/>
      </w:pPr>
      <w:r>
        <w:t xml:space="preserve">This creates a mixed setup:</w:t>
      </w:r>
    </w:p>
    <w:p>
      <w:pPr>
        <w:pStyle w:val="Compact"/>
        <w:numPr>
          <w:ilvl w:val="0"/>
          <w:numId w:val="1013"/>
        </w:numPr>
      </w:pPr>
      <w:r>
        <w:rPr>
          <w:b/>
          <w:bCs/>
        </w:rPr>
        <w:t xml:space="preserve">A clean quarter plus reassuring guidance</w:t>
      </w:r>
      <w:r>
        <w:t xml:space="preserve"> </w:t>
      </w:r>
      <w:r>
        <w:t xml:space="preserve">could produce a substantial relief reaction.</w:t>
      </w:r>
    </w:p>
    <w:p>
      <w:pPr>
        <w:pStyle w:val="Compact"/>
        <w:numPr>
          <w:ilvl w:val="0"/>
          <w:numId w:val="1013"/>
        </w:numPr>
      </w:pPr>
      <w:r>
        <w:rPr>
          <w:b/>
          <w:bCs/>
        </w:rPr>
        <w:t xml:space="preserve">A nominal beat accompanied by softer Optical or solar commentary</w:t>
      </w:r>
      <w:r>
        <w:t xml:space="preserve"> </w:t>
      </w:r>
      <w:r>
        <w:t xml:space="preserve">may not be enough.</w:t>
      </w:r>
    </w:p>
    <w:p>
      <w:pPr>
        <w:pStyle w:val="Compact"/>
        <w:numPr>
          <w:ilvl w:val="0"/>
          <w:numId w:val="1013"/>
        </w:numPr>
      </w:pPr>
      <w:r>
        <w:rPr>
          <w:b/>
          <w:bCs/>
        </w:rPr>
        <w:t xml:space="preserve">Any reduction to the long-term growth framework</w:t>
      </w:r>
      <w:r>
        <w:t xml:space="preserve"> </w:t>
      </w:r>
      <w:r>
        <w:t xml:space="preserve">would likely be viewed as a major negative.</w:t>
      </w:r>
    </w:p>
    <w:p>
      <w:r>
        <w:pict>
          <v:rect style="width:0;height:1.5pt" o:hralign="center" o:hrstd="t" o:hr="t"/>
        </w:pict>
      </w:r>
    </w:p>
    <w:bookmarkEnd w:id="22"/>
    <w:bookmarkStart w:id="26" w:name="potential-reaction-framework"/>
    <w:p>
      <w:pPr>
        <w:pStyle w:val="Heading2"/>
      </w:pPr>
      <w:r>
        <w:t xml:space="preserve">Potential reaction framework</w:t>
      </w:r>
    </w:p>
    <w:bookmarkStart w:id="23" w:name="bull-case"/>
    <w:p>
      <w:pPr>
        <w:pStyle w:val="Heading3"/>
      </w:pPr>
      <w:r>
        <w:t xml:space="preserve">Bull case</w:t>
      </w:r>
    </w:p>
    <w:p>
      <w:pPr>
        <w:pStyle w:val="Compact"/>
        <w:numPr>
          <w:ilvl w:val="0"/>
          <w:numId w:val="1014"/>
        </w:numPr>
      </w:pPr>
      <w:r>
        <w:t xml:space="preserve">Core sales clearly exceed $4.63 billion</w:t>
      </w:r>
    </w:p>
    <w:p>
      <w:pPr>
        <w:pStyle w:val="Compact"/>
        <w:numPr>
          <w:ilvl w:val="0"/>
          <w:numId w:val="1014"/>
        </w:numPr>
      </w:pPr>
      <w:r>
        <w:t xml:space="preserve">Core EPS exceeds the $0.77 high end</w:t>
      </w:r>
    </w:p>
    <w:p>
      <w:pPr>
        <w:pStyle w:val="Compact"/>
        <w:numPr>
          <w:ilvl w:val="0"/>
          <w:numId w:val="1014"/>
        </w:numPr>
      </w:pPr>
      <w:r>
        <w:t xml:space="preserve">Optical surpasses roughly $2 billion with continued margin expansion</w:t>
      </w:r>
    </w:p>
    <w:p>
      <w:pPr>
        <w:pStyle w:val="Compact"/>
        <w:numPr>
          <w:ilvl w:val="0"/>
          <w:numId w:val="1014"/>
        </w:numPr>
      </w:pPr>
      <w:r>
        <w:t xml:space="preserve">Solar-wafer production restarts without another material delay</w:t>
      </w:r>
    </w:p>
    <w:p>
      <w:pPr>
        <w:pStyle w:val="Compact"/>
        <w:numPr>
          <w:ilvl w:val="0"/>
          <w:numId w:val="1014"/>
        </w:numPr>
      </w:pPr>
      <w:r>
        <w:t xml:space="preserve">Q3 guidance shows continued strong double-digit growth</w:t>
      </w:r>
    </w:p>
    <w:p>
      <w:pPr>
        <w:pStyle w:val="Compact"/>
        <w:numPr>
          <w:ilvl w:val="0"/>
          <w:numId w:val="1014"/>
        </w:numPr>
      </w:pPr>
      <w:r>
        <w:t xml:space="preserve">Management reiterates growing free cash flow despite higher capital expenditures</w:t>
      </w:r>
    </w:p>
    <w:p>
      <w:pPr>
        <w:pStyle w:val="Compact"/>
        <w:numPr>
          <w:ilvl w:val="0"/>
          <w:numId w:val="1014"/>
        </w:numPr>
      </w:pPr>
      <w:r>
        <w:t xml:space="preserve">Early scale-up or photonics revenue is pulled forward</w:t>
      </w:r>
    </w:p>
    <w:p>
      <w:pPr>
        <w:pStyle w:val="FirstParagraph"/>
      </w:pPr>
      <w:r>
        <w:t xml:space="preserve">This would reinforce the argument that Corning is becoming a structurally faster-growing AI-infrastructure supplier rather than merely enjoying a cyclical fiber recovery.</w:t>
      </w:r>
    </w:p>
    <w:bookmarkEnd w:id="23"/>
    <w:bookmarkStart w:id="24" w:name="base-case"/>
    <w:p>
      <w:pPr>
        <w:pStyle w:val="Heading3"/>
      </w:pPr>
      <w:r>
        <w:t xml:space="preserve">Base case</w:t>
      </w:r>
    </w:p>
    <w:p>
      <w:pPr>
        <w:pStyle w:val="Compact"/>
        <w:numPr>
          <w:ilvl w:val="0"/>
          <w:numId w:val="1015"/>
        </w:numPr>
      </w:pPr>
      <w:r>
        <w:t xml:space="preserve">Results land near</w:t>
      </w:r>
      <w:r>
        <w:t xml:space="preserve"> </w:t>
      </w:r>
      <m:oMath>
        <m:r>
          <m:t>4.6</m:t>
        </m:r>
        <m:r>
          <m:rPr>
            <m:sty m:val="p"/>
          </m:rPr>
          <m:t>–</m:t>
        </m:r>
      </m:oMath>
      <w:r>
        <w:t xml:space="preserve">4.65 billion and</w:t>
      </w:r>
      <w:r>
        <w:t xml:space="preserve"> </w:t>
      </w:r>
      <m:oMath>
        <m:r>
          <m:t>0.75</m:t>
        </m:r>
        <m:r>
          <m:rPr>
            <m:sty m:val="p"/>
          </m:rPr>
          <m:t>–</m:t>
        </m:r>
      </m:oMath>
      <w:r>
        <w:t xml:space="preserve">0.77</w:t>
      </w:r>
    </w:p>
    <w:p>
      <w:pPr>
        <w:pStyle w:val="Compact"/>
        <w:numPr>
          <w:ilvl w:val="0"/>
          <w:numId w:val="1015"/>
        </w:numPr>
      </w:pPr>
      <w:r>
        <w:t xml:space="preserve">Optical remains strong but decelerates from Q1</w:t>
      </w:r>
    </w:p>
    <w:p>
      <w:pPr>
        <w:pStyle w:val="Compact"/>
        <w:numPr>
          <w:ilvl w:val="0"/>
          <w:numId w:val="1015"/>
        </w:numPr>
      </w:pPr>
      <w:r>
        <w:t xml:space="preserve">Solar costs remain elevated, with gradual improvement expected in Q3</w:t>
      </w:r>
    </w:p>
    <w:p>
      <w:pPr>
        <w:pStyle w:val="Compact"/>
        <w:numPr>
          <w:ilvl w:val="0"/>
          <w:numId w:val="1015"/>
        </w:numPr>
      </w:pPr>
      <w:r>
        <w:t xml:space="preserve">Operating margin stays around 20%</w:t>
      </w:r>
    </w:p>
    <w:p>
      <w:pPr>
        <w:pStyle w:val="Compact"/>
        <w:numPr>
          <w:ilvl w:val="0"/>
          <w:numId w:val="1015"/>
        </w:numPr>
      </w:pPr>
      <w:r>
        <w:t xml:space="preserve">Long-term Springboard targets are reiterated without major new detail</w:t>
      </w:r>
    </w:p>
    <w:p>
      <w:pPr>
        <w:pStyle w:val="FirstParagraph"/>
      </w:pPr>
      <w:r>
        <w:t xml:space="preserve">The stock reaction would probably depend on the tone and level of Q3 guidance.</w:t>
      </w:r>
    </w:p>
    <w:bookmarkEnd w:id="24"/>
    <w:bookmarkStart w:id="25" w:name="bear-case"/>
    <w:p>
      <w:pPr>
        <w:pStyle w:val="Heading3"/>
      </w:pPr>
      <w:r>
        <w:t xml:space="preserve">Bear case</w:t>
      </w:r>
    </w:p>
    <w:p>
      <w:pPr>
        <w:pStyle w:val="Compact"/>
        <w:numPr>
          <w:ilvl w:val="0"/>
          <w:numId w:val="1016"/>
        </w:numPr>
      </w:pPr>
      <w:r>
        <w:t xml:space="preserve">Revenue or EPS falls below guidance</w:t>
      </w:r>
    </w:p>
    <w:p>
      <w:pPr>
        <w:pStyle w:val="Compact"/>
        <w:numPr>
          <w:ilvl w:val="0"/>
          <w:numId w:val="1016"/>
        </w:numPr>
      </w:pPr>
      <w:r>
        <w:t xml:space="preserve">Optical growth or segment profitability disappoints</w:t>
      </w:r>
    </w:p>
    <w:p>
      <w:pPr>
        <w:pStyle w:val="Compact"/>
        <w:numPr>
          <w:ilvl w:val="0"/>
          <w:numId w:val="1016"/>
        </w:numPr>
      </w:pPr>
      <w:r>
        <w:t xml:space="preserve">Hyperscale projects encounter delays</w:t>
      </w:r>
    </w:p>
    <w:p>
      <w:pPr>
        <w:pStyle w:val="Compact"/>
        <w:numPr>
          <w:ilvl w:val="0"/>
          <w:numId w:val="1016"/>
        </w:numPr>
      </w:pPr>
      <w:r>
        <w:t xml:space="preserve">The solar-wafer shutdown extends materially into Q3</w:t>
      </w:r>
    </w:p>
    <w:p>
      <w:pPr>
        <w:pStyle w:val="Compact"/>
        <w:numPr>
          <w:ilvl w:val="0"/>
          <w:numId w:val="1016"/>
        </w:numPr>
      </w:pPr>
      <w:r>
        <w:t xml:space="preserve">Capital spending rises without corresponding operating-cash-flow improvement</w:t>
      </w:r>
    </w:p>
    <w:p>
      <w:pPr>
        <w:pStyle w:val="Compact"/>
        <w:numPr>
          <w:ilvl w:val="0"/>
          <w:numId w:val="1016"/>
        </w:numPr>
      </w:pPr>
      <w:r>
        <w:t xml:space="preserve">Management becomes less confident in the 2028–2030 targets</w:t>
      </w:r>
    </w:p>
    <w:p>
      <w:pPr>
        <w:pStyle w:val="FirstParagraph"/>
      </w:pPr>
      <w:r>
        <w:t xml:space="preserve">The most damaging outcome would be evidence that Corning is expanding capacity ahead of demand while solar execution remains unresolved.</w:t>
      </w:r>
    </w:p>
    <w:p>
      <w:r>
        <w:pict>
          <v:rect style="width:0;height:1.5pt" o:hralign="center" o:hrstd="t" o:hr="t"/>
        </w:pict>
      </w:r>
    </w:p>
    <w:bookmarkEnd w:id="25"/>
    <w:bookmarkEnd w:id="26"/>
    <w:bookmarkStart w:id="27" w:name="bottom-line"/>
    <w:p>
      <w:pPr>
        <w:pStyle w:val="Heading2"/>
      </w:pPr>
      <w:r>
        <w:t xml:space="preserve">Bottom line</w:t>
      </w:r>
    </w:p>
    <w:p>
      <w:pPr>
        <w:pStyle w:val="FirstParagraph"/>
      </w:pPr>
      <w:r>
        <w:t xml:space="preserve">The Q2 earnings hurdle is approximately</w:t>
      </w:r>
      <w:r>
        <w:t xml:space="preserve"> </w:t>
      </w:r>
      <w:r>
        <w:rPr>
          <w:b/>
          <w:bCs/>
        </w:rPr>
        <w:t xml:space="preserve">$4.6 billion of core sales and $0.75 of core EPS</w:t>
      </w:r>
      <w:r>
        <w:t xml:space="preserve">, but those figures are not the main issue.</w:t>
      </w:r>
    </w:p>
    <w:p>
      <w:pPr>
        <w:pStyle w:val="BodyText"/>
      </w:pPr>
      <w:r>
        <w:t xml:space="preserve">The report needs to demonstrate that:</w:t>
      </w:r>
    </w:p>
    <w:p>
      <w:pPr>
        <w:pStyle w:val="Compact"/>
        <w:numPr>
          <w:ilvl w:val="0"/>
          <w:numId w:val="1017"/>
        </w:numPr>
      </w:pPr>
      <w:r>
        <w:rPr>
          <w:b/>
          <w:bCs/>
        </w:rPr>
        <w:t xml:space="preserve">Optical growth remains exceptional and profitable.</w:t>
      </w:r>
    </w:p>
    <w:p>
      <w:pPr>
        <w:pStyle w:val="Compact"/>
        <w:numPr>
          <w:ilvl w:val="0"/>
          <w:numId w:val="1017"/>
        </w:numPr>
      </w:pPr>
      <w:r>
        <w:rPr>
          <w:b/>
          <w:bCs/>
        </w:rPr>
        <w:t xml:space="preserve">Solar’s problems are temporary and contained.</w:t>
      </w:r>
    </w:p>
    <w:p>
      <w:pPr>
        <w:pStyle w:val="Compact"/>
        <w:numPr>
          <w:ilvl w:val="0"/>
          <w:numId w:val="1017"/>
        </w:numPr>
      </w:pPr>
      <w:r>
        <w:rPr>
          <w:b/>
          <w:bCs/>
        </w:rPr>
        <w:t xml:space="preserve">The second-half trajectory supports the upgraded Springboard plan.</w:t>
      </w:r>
    </w:p>
    <w:p>
      <w:pPr>
        <w:pStyle w:val="Compact"/>
        <w:numPr>
          <w:ilvl w:val="0"/>
          <w:numId w:val="1017"/>
        </w:numPr>
      </w:pPr>
      <w:r>
        <w:rPr>
          <w:b/>
          <w:bCs/>
        </w:rPr>
        <w:t xml:space="preserve">Capacity investment can be funded without sacrificing free-cash-flow growth.</w:t>
      </w:r>
    </w:p>
    <w:p>
      <w:pPr>
        <w:pStyle w:val="FirstParagraph"/>
      </w:pPr>
      <w:r>
        <w:t xml:space="preserve">Given the stock’s large decline from its June high, expectations are less extreme than they were a month ago. Still, the long-term targets are ambitious enough that investors will demand more than an in-line quarter: they will want tangible evidence that Corning’s AI opportunity is converting from customer commitments and capacity announcements into sustainable revenue, margins and cash flow.</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2026-07-28T00:27:34Z</dcterms:created>
  <dcterms:modified xsi:type="dcterms:W3CDTF">2026-07-28T00:27:34Z</dcterms:modified>
</cp:coreProperties>
</file>

<file path=docProps/custom.xml><?xml version="1.0" encoding="utf-8"?>
<Properties xmlns="http://schemas.openxmlformats.org/officeDocument/2006/custom-properties" xmlns:vt="http://schemas.openxmlformats.org/officeDocument/2006/docPropsVTypes"/>
</file>