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orning-nyse-glw--2q26-earnings-preview"/>
    <w:p>
      <w:pPr>
        <w:pStyle w:val="Heading1"/>
      </w:pPr>
      <w:r>
        <w:t xml:space="preserve">Corning (NYSE: GLW) — 2Q26 Earnings Preview</w:t>
      </w:r>
    </w:p>
    <w:p>
      <w:pPr>
        <w:pStyle w:val="BlockText"/>
      </w:pPr>
      <w:r>
        <w:rPr>
          <w:b/>
          <w:bCs/>
        </w:rPr>
        <w:t xml:space="preserve">Timing note:</w:t>
      </w:r>
      <w:r>
        <w:t xml:space="preserve"> </w:t>
      </w:r>
      <w:r>
        <w:t xml:space="preserve">Today is</w:t>
      </w:r>
      <w:r>
        <w:t xml:space="preserve"> </w:t>
      </w:r>
      <w:r>
        <w:rPr>
          <w:b/>
          <w:bCs/>
        </w:rPr>
        <w:t xml:space="preserve">Tuesday, July 28, 2026</w:t>
      </w:r>
      <w:r>
        <w:t xml:space="preserve">. GLW is scheduled to report</w:t>
      </w:r>
      <w:r>
        <w:t xml:space="preserve"> </w:t>
      </w:r>
      <w:r>
        <w:rPr>
          <w:b/>
          <w:bCs/>
        </w:rPr>
        <w:t xml:space="preserve">2Q26 results before the U.S. market opens today</w:t>
      </w:r>
      <w:r>
        <w:t xml:space="preserve">, not tomorrow. The focal point is likely to be the earnings call and, especially, the durability of the AI-optical demand outlook.</w:t>
      </w:r>
    </w:p>
    <w:bookmarkStart w:id="9" w:name="X47d479c88199e160c3e0d5f4a17eea9a3f31375"/>
    <w:p>
      <w:pPr>
        <w:pStyle w:val="Heading2"/>
      </w:pPr>
      <w:r>
        <w:t xml:space="preserve">Investment view: this is a demand-validation and guidance call, not merely a quarterly beat/miss</w:t>
      </w:r>
    </w:p>
    <w:p>
      <w:pPr>
        <w:pStyle w:val="FirstParagraph"/>
      </w:pPr>
      <w:r>
        <w:t xml:space="preserve">Corning enters 2Q26 with an unusually consequential setup. The company has repositioned itself from a largely mature materials-and-display story into a major beneficiary of AI infrastructure spending through its Optical Communications business. The key debate is no longer whether AI-related optical demand has arrived—it clearly has—but whether the current order, capacity, and profitability trajectory is durable enough to support Corning’s ambitious multiyear Springboard targets.</w:t>
      </w:r>
    </w:p>
    <w:p>
      <w:pPr>
        <w:pStyle w:val="BodyText"/>
      </w:pPr>
      <w:r>
        <w:t xml:space="preserve">The near-term quarter should be strong by conventional standards. Management guided to approximately</w:t>
      </w:r>
      <w:r>
        <w:t xml:space="preserve"> </w:t>
      </w:r>
      <w:r>
        <w:rPr>
          <w:b/>
          <w:bCs/>
        </w:rPr>
        <w:t xml:space="preserve">$4.6 billion of core sales</w:t>
      </w:r>
      <w:r>
        <w:t xml:space="preserve"> </w:t>
      </w:r>
      <w:r>
        <w:t xml:space="preserve">and</w:t>
      </w:r>
      <w:r>
        <w:t xml:space="preserve"> </w:t>
      </w:r>
      <w:r>
        <w:rPr>
          <w:b/>
          <w:bCs/>
        </w:rPr>
        <w:t xml:space="preserve">core EPS of</w:t>
      </w:r>
      <w:r>
        <w:rPr>
          <w:b/>
          <w:bCs/>
        </w:rPr>
        <w:t xml:space="preserve"> </w:t>
      </w:r>
      <m:oMath>
        <m:r>
          <m:t>0.73</m:t>
        </m:r>
        <m:r>
          <m:rPr>
            <m:sty m:val="p"/>
          </m:rPr>
          <m:t>–</m:t>
        </m:r>
      </m:oMath>
      <w:r>
        <w:rPr>
          <w:b/>
          <w:bCs/>
        </w:rPr>
        <w:t xml:space="preserve">0.77</w:t>
      </w:r>
      <w:r>
        <w:t xml:space="preserve">, despite a temporary solar-wafer disruption. Street revenue expectations are approximately</w:t>
      </w:r>
      <w:r>
        <w:t xml:space="preserve"> </w:t>
      </w:r>
      <m:oMath>
        <m:r>
          <m:t>4.63</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r</m:t>
        </m:r>
        <m:r>
          <m:t>o</m:t>
        </m:r>
        <m:r>
          <m:t>u</m:t>
        </m:r>
        <m:r>
          <m:t>g</m:t>
        </m:r>
        <m:r>
          <m:t>h</m:t>
        </m:r>
        <m:r>
          <m:t>l</m:t>
        </m:r>
        <m:r>
          <m:t>y</m:t>
        </m:r>
        <m:r>
          <m:rPr>
            <m:sty m:val="p"/>
          </m:rPr>
          <m:t>*</m:t>
        </m:r>
        <m:r>
          <m:rPr>
            <m:sty m:val="p"/>
          </m:rPr>
          <m:t>*</m:t>
        </m:r>
      </m:oMath>
      <w:r>
        <w:rPr>
          <w:b/>
          <w:bCs/>
        </w:rPr>
        <w:t xml:space="preserve">1.99 billion</w:t>
      </w:r>
      <w:r>
        <w:t xml:space="preserve"> </w:t>
      </w:r>
      <w:r>
        <w:t xml:space="preserve">for Optical Communications. The more important issue for the shares is whether management can support a strong second-half trajectory without signaling weaker AI capex, project timing slippage, customer digestion, or a greater-than-expected solar ramp burden.</w:t>
      </w:r>
    </w:p>
    <w:p>
      <w:pPr>
        <w:pStyle w:val="BodyText"/>
      </w:pPr>
      <w:r>
        <w:t xml:space="preserve">The stock has already reflected a sharp reassessment of AI-infrastructure risk: GLW closed at</w:t>
      </w:r>
      <w:r>
        <w:t xml:space="preserve"> </w:t>
      </w:r>
      <w:r>
        <w:rPr>
          <w:b/>
          <w:bCs/>
        </w:rPr>
        <w:t xml:space="preserve">$143.39 on July 27</w:t>
      </w:r>
      <w:r>
        <w:t xml:space="preserve">, down roughly</w:t>
      </w:r>
      <w:r>
        <w:t xml:space="preserve"> </w:t>
      </w:r>
      <w:r>
        <w:rPr>
          <w:b/>
          <w:bCs/>
        </w:rPr>
        <w:t xml:space="preserve">44% from its June 29 closing high of $255.69</w:t>
      </w:r>
      <w:r>
        <w:t xml:space="preserve">. That lowers the valuation/setup risk versus late June, but it also means management needs to demonstrate that the core optical thesis remains intact.</w:t>
      </w:r>
    </w:p>
    <w:p>
      <w:r>
        <w:pict>
          <v:rect style="width:0;height:1.5pt" o:hralign="center" o:hrstd="t" o:hr="t"/>
        </w:pict>
      </w:r>
    </w:p>
    <w:bookmarkEnd w:id="9"/>
    <w:bookmarkStart w:id="11" w:name="what-is-expected-for-2q26"/>
    <w:p>
      <w:pPr>
        <w:pStyle w:val="Heading2"/>
      </w:pPr>
      <w:r>
        <w:t xml:space="preserve">What is expected for 2Q26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management outlook</w:t>
            </w:r>
          </w:p>
        </w:tc>
        <w:tc>
          <w:tcPr/>
          <w:p>
            <w:pPr>
              <w:pStyle w:val="Compact"/>
              <w:jc w:val="right"/>
            </w:pPr>
            <w:r>
              <w:t xml:space="preserve">Street / implied expectation</w:t>
            </w:r>
          </w:p>
        </w:tc>
        <w:tc>
          <w:tcPr/>
          <w:p>
            <w:pPr>
              <w:pStyle w:val="Compact"/>
              <w:jc w:val="right"/>
            </w:pPr>
            <w:r>
              <w:t xml:space="preserve">2Q25 actual</w:t>
            </w:r>
          </w:p>
        </w:tc>
      </w:tr>
      <w:tr>
        <w:tc>
          <w:tcPr/>
          <w:p>
            <w:pPr>
              <w:pStyle w:val="Compact"/>
            </w:pPr>
            <w:r>
              <w:t xml:space="preserve">Core sales</w:t>
            </w:r>
          </w:p>
        </w:tc>
        <w:tc>
          <w:tcPr/>
          <w:p>
            <w:pPr>
              <w:pStyle w:val="Compact"/>
              <w:jc w:val="right"/>
            </w:pPr>
            <w:r>
              <w:t xml:space="preserve">~$4.6B</w:t>
            </w:r>
          </w:p>
        </w:tc>
        <w:tc>
          <w:tcPr/>
          <w:p>
            <w:pPr>
              <w:pStyle w:val="Compact"/>
              <w:jc w:val="right"/>
            </w:pPr>
            <w:r>
              <w:t xml:space="preserve">~$4.63B</w:t>
            </w:r>
          </w:p>
        </w:tc>
        <w:tc>
          <w:tcPr/>
          <w:p>
            <w:pPr>
              <w:pStyle w:val="Compact"/>
              <w:jc w:val="right"/>
            </w:pPr>
            <w:r>
              <w:t xml:space="preserve">$4.05B</w:t>
            </w:r>
          </w:p>
        </w:tc>
      </w:tr>
      <w:tr>
        <w:tc>
          <w:tcPr/>
          <w:p>
            <w:pPr>
              <w:pStyle w:val="Compact"/>
            </w:pPr>
            <w:r>
              <w:t xml:space="preserve">Core EPS</w:t>
            </w:r>
          </w:p>
        </w:tc>
        <w:tc>
          <w:tcPr/>
          <w:p>
            <w:pPr>
              <w:pStyle w:val="Compact"/>
              <w:jc w:val="right"/>
            </w:pPr>
            <m:oMath>
              <m:r>
                <m:t>0.73</m:t>
              </m:r>
              <m:r>
                <m:rPr>
                  <m:sty m:val="p"/>
                </m:rPr>
                <m:t>–</m:t>
              </m:r>
            </m:oMath>
            <w:r>
              <w:t xml:space="preserve">0.77</w:t>
            </w:r>
          </w:p>
        </w:tc>
        <w:tc>
          <w:tcPr/>
          <w:p>
            <w:pPr>
              <w:pStyle w:val="Compact"/>
              <w:jc w:val="right"/>
            </w:pPr>
            <w:r>
              <w:t xml:space="preserve">Not specified in available consensus data</w:t>
            </w:r>
          </w:p>
        </w:tc>
        <w:tc>
          <w:tcPr/>
          <w:p>
            <w:pPr>
              <w:pStyle w:val="Compact"/>
              <w:jc w:val="right"/>
            </w:pPr>
            <w:r>
              <w:t xml:space="preserve">$0.60</w:t>
            </w:r>
          </w:p>
        </w:tc>
      </w:tr>
      <w:tr>
        <w:tc>
          <w:tcPr/>
          <w:p>
            <w:pPr>
              <w:pStyle w:val="Compact"/>
            </w:pPr>
            <w:r>
              <w:t xml:space="preserve">Optical Communications sales</w:t>
            </w:r>
          </w:p>
        </w:tc>
        <w:tc>
          <w:tcPr/>
          <w:p>
            <w:pPr>
              <w:pStyle w:val="Compact"/>
              <w:jc w:val="right"/>
            </w:pPr>
            <w:r>
              <w:t xml:space="preserve">Not guided separately</w:t>
            </w:r>
          </w:p>
        </w:tc>
        <w:tc>
          <w:tcPr/>
          <w:p>
            <w:pPr>
              <w:pStyle w:val="Compact"/>
              <w:jc w:val="right"/>
            </w:pPr>
            <w:r>
              <w:t xml:space="preserve">~$1.99B</w:t>
            </w:r>
          </w:p>
        </w:tc>
        <w:tc>
          <w:tcPr/>
          <w:p>
            <w:pPr>
              <w:pStyle w:val="Compact"/>
              <w:jc w:val="right"/>
            </w:pPr>
            <w:r>
              <w:t xml:space="preserve">$1.57B</w:t>
            </w:r>
          </w:p>
        </w:tc>
      </w:tr>
      <w:tr>
        <w:tc>
          <w:tcPr/>
          <w:p>
            <w:pPr>
              <w:pStyle w:val="Compact"/>
            </w:pPr>
            <w:r>
              <w:t xml:space="preserve">Solar headwind</w:t>
            </w:r>
          </w:p>
        </w:tc>
        <w:tc>
          <w:tcPr/>
          <w:p>
            <w:pPr>
              <w:pStyle w:val="Compact"/>
              <w:jc w:val="right"/>
            </w:pPr>
            <w:r>
              <w:t xml:space="preserve">~$30M incremental expense vs. 1Q</w:t>
            </w:r>
          </w:p>
        </w:tc>
        <w:tc>
          <w:tcPr/>
          <w:p>
            <w:pPr>
              <w:pStyle w:val="Compact"/>
              <w:jc w:val="right"/>
            </w:pPr>
            <w:r>
              <w:t xml:space="preserve">Embedded in guidance</w:t>
            </w:r>
          </w:p>
        </w:tc>
        <w:tc>
          <w:tcPr/>
          <w:p>
            <w:pPr>
              <w:pStyle w:val="Compact"/>
              <w:jc w:val="right"/>
            </w:pPr>
            <w:r>
              <w:t xml:space="preserve">N/A</w:t>
            </w:r>
          </w:p>
        </w:tc>
      </w:tr>
    </w:tbl>
    <w:p>
      <w:pPr>
        <w:pStyle w:val="BodyText"/>
      </w:pPr>
      <w:r>
        <w:t xml:space="preserve">At the midpoint, management’s EPS outlook implies roughly</w:t>
      </w:r>
      <w:r>
        <w:t xml:space="preserve"> </w:t>
      </w:r>
      <w:r>
        <w:rPr>
          <w:b/>
          <w:bCs/>
        </w:rPr>
        <w:t xml:space="preserve">25% year-over-year growth</w:t>
      </w:r>
      <w:r>
        <w:t xml:space="preserve">, while consensus revenue implies approximately</w:t>
      </w:r>
      <w:r>
        <w:t xml:space="preserve"> </w:t>
      </w:r>
      <w:r>
        <w:rPr>
          <w:b/>
          <w:bCs/>
        </w:rPr>
        <w:t xml:space="preserve">14.7% growth</w:t>
      </w:r>
      <w:r>
        <w:t xml:space="preserve">. Optical Communications consensus of ~$1.99 billion implies growth of about</w:t>
      </w:r>
      <w:r>
        <w:t xml:space="preserve"> </w:t>
      </w:r>
      <w:r>
        <w:rPr>
          <w:b/>
          <w:bCs/>
        </w:rPr>
        <w:t xml:space="preserve">27%</w:t>
      </w:r>
      <w:r>
        <w:t xml:space="preserve"> </w:t>
      </w:r>
      <w:r>
        <w:t xml:space="preserve">from 2Q25.</w:t>
      </w:r>
    </w:p>
    <w:bookmarkStart w:id="10" w:name="X84b2f47ddc176aa0405706282f5cb7a81cfb097"/>
    <w:p>
      <w:pPr>
        <w:pStyle w:val="Heading3"/>
      </w:pPr>
      <w:r>
        <w:t xml:space="preserve">Why the headline numbers may understate the quarter’s importance</w:t>
      </w:r>
    </w:p>
    <w:p>
      <w:pPr>
        <w:pStyle w:val="FirstParagraph"/>
      </w:pPr>
      <w:r>
        <w:t xml:space="preserve">The 2Q guide explicitly includes an extended maintenance shutdown and permanent-power transition at Corning’s solar-wafer operation. Management characterized the incremental Q2 cost as</w:t>
      </w:r>
      <w:r>
        <w:t xml:space="preserve"> </w:t>
      </w:r>
      <m:oMath>
        <m:r>
          <m:t>30</m:t>
        </m:r>
        <m:r>
          <m:t>m</m:t>
        </m:r>
        <m:r>
          <m:t>i</m:t>
        </m:r>
        <m:r>
          <m:t>l</m:t>
        </m:r>
        <m:r>
          <m:t>l</m:t>
        </m:r>
        <m:r>
          <m:t>i</m:t>
        </m:r>
        <m:r>
          <m:t>o</m:t>
        </m:r>
        <m:r>
          <m:t>n</m:t>
        </m:r>
        <m:r>
          <m:t>v</m:t>
        </m:r>
        <m:r>
          <m:t>e</m:t>
        </m:r>
        <m:r>
          <m:t>r</m:t>
        </m:r>
        <m:r>
          <m:t>s</m:t>
        </m:r>
        <m:r>
          <m:t>u</m:t>
        </m:r>
        <m:r>
          <m:t>s</m:t>
        </m:r>
        <m:r>
          <m:t>1</m:t>
        </m:r>
        <m:r>
          <m:t>Q</m:t>
        </m:r>
        <m:r>
          <m:rPr>
            <m:sty m:val="p"/>
          </m:rPr>
          <m:t>*</m:t>
        </m:r>
        <m:r>
          <m:rPr>
            <m:sty m:val="p"/>
          </m:rPr>
          <m:t>*</m:t>
        </m:r>
        <m:r>
          <m:rPr>
            <m:sty m:val="p"/>
          </m:rPr>
          <m:t>,</m:t>
        </m:r>
        <m:r>
          <m:t>w</m:t>
        </m:r>
        <m:r>
          <m:t>h</m:t>
        </m:r>
        <m:r>
          <m:t>i</m:t>
        </m:r>
        <m:r>
          <m:t>l</m:t>
        </m:r>
        <m:r>
          <m:t>e</m:t>
        </m:r>
        <m:r>
          <m:t>i</m:t>
        </m:r>
        <m:r>
          <m:t>n</m:t>
        </m:r>
        <m:r>
          <m:t>d</m:t>
        </m:r>
        <m:r>
          <m:t>i</m:t>
        </m:r>
        <m:r>
          <m:t>c</m:t>
        </m:r>
        <m:r>
          <m:t>a</m:t>
        </m:r>
        <m:r>
          <m:t>t</m:t>
        </m:r>
        <m:r>
          <m:t>i</m:t>
        </m:r>
        <m:r>
          <m:t>n</m:t>
        </m:r>
        <m:r>
          <m:t>g</m:t>
        </m:r>
        <m:r>
          <m:t>t</m:t>
        </m:r>
        <m:r>
          <m:t>h</m:t>
        </m:r>
        <m:r>
          <m:t>a</m:t>
        </m:r>
        <m:r>
          <m:t>t</m:t>
        </m:r>
        <m:r>
          <m:t>t</m:t>
        </m:r>
        <m:r>
          <m:t>h</m:t>
        </m:r>
        <m:r>
          <m:t>e</m:t>
        </m:r>
        <m:r>
          <m:t>a</m:t>
        </m:r>
        <m:r>
          <m:t>g</m:t>
        </m:r>
        <m:r>
          <m:t>g</m:t>
        </m:r>
        <m:r>
          <m:t>r</m:t>
        </m:r>
        <m:r>
          <m:t>e</m:t>
        </m:r>
        <m:r>
          <m:t>g</m:t>
        </m:r>
        <m:r>
          <m:t>a</m:t>
        </m:r>
        <m:r>
          <m:t>t</m:t>
        </m:r>
        <m:r>
          <m:t>e</m:t>
        </m:r>
        <m:r>
          <m:t>w</m:t>
        </m:r>
        <m:r>
          <m:t>a</m:t>
        </m:r>
        <m:r>
          <m:t>f</m:t>
        </m:r>
        <m:r>
          <m:t>e</m:t>
        </m:r>
        <m:r>
          <m:t>r</m:t>
        </m:r>
        <m:r>
          <m:rPr>
            <m:sty m:val="p"/>
          </m:rPr>
          <m:t>−</m:t>
        </m:r>
        <m:r>
          <m:t>r</m:t>
        </m:r>
        <m:r>
          <m:t>a</m:t>
        </m:r>
        <m:r>
          <m:t>m</m:t>
        </m:r>
        <m:r>
          <m:t>p</m:t>
        </m:r>
        <m:r>
          <m:t>a</m:t>
        </m:r>
        <m:r>
          <m:t>n</m:t>
        </m:r>
        <m:r>
          <m:t>d</m:t>
        </m:r>
        <m:r>
          <m:t>s</m:t>
        </m:r>
        <m:r>
          <m:t>h</m:t>
        </m:r>
        <m:r>
          <m:t>u</m:t>
        </m:r>
        <m:r>
          <m:t>t</m:t>
        </m:r>
        <m:r>
          <m:t>d</m:t>
        </m:r>
        <m:r>
          <m:t>o</m:t>
        </m:r>
        <m:r>
          <m:t>w</m:t>
        </m:r>
        <m:r>
          <m:t>n</m:t>
        </m:r>
        <m:r>
          <m:t>b</m:t>
        </m:r>
        <m:r>
          <m:t>u</m:t>
        </m:r>
        <m:r>
          <m:t>r</m:t>
        </m:r>
        <m:r>
          <m:t>d</m:t>
        </m:r>
        <m:r>
          <m:t>e</m:t>
        </m:r>
        <m:r>
          <m:t>n</m:t>
        </m:r>
        <m:r>
          <m:t>w</m:t>
        </m:r>
        <m:r>
          <m:t>a</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0.07 of EPS</w:t>
      </w:r>
      <w:r>
        <w:t xml:space="preserve"> </w:t>
      </w:r>
      <w:r>
        <w:t xml:space="preserve">in the 2Q outlook.</w:t>
      </w:r>
    </w:p>
    <w:p>
      <w:pPr>
        <w:pStyle w:val="BodyText"/>
      </w:pPr>
      <w:r>
        <w:t xml:space="preserve">Therefore, a clean execution in Optical Communications—combined with evidence that the solar-wafer restart is proceeding toward higher throughput—would be more constructive than a simple EPS beat. Conversely, a small headline beat accompanied by lower Optical growth or a delayed solar recovery would likely be poorly received.</w:t>
      </w:r>
    </w:p>
    <w:p>
      <w:r>
        <w:pict>
          <v:rect style="width:0;height:1.5pt" o:hralign="center" o:hrstd="t" o:hr="t"/>
        </w:pict>
      </w:r>
    </w:p>
    <w:bookmarkEnd w:id="10"/>
    <w:bookmarkEnd w:id="11"/>
    <w:bookmarkStart w:id="14" w:name="X0ce4363175b0282e96f16ef5989434992de7b5d"/>
    <w:p>
      <w:pPr>
        <w:pStyle w:val="Heading2"/>
      </w:pPr>
      <w:r>
        <w:t xml:space="preserve">The central issue: Optical Communications must validate the AI thesis</w:t>
      </w:r>
    </w:p>
    <w:p>
      <w:pPr>
        <w:pStyle w:val="FirstParagraph"/>
      </w:pPr>
      <w:r>
        <w:t xml:space="preserve">Optical Communications accounted for</w:t>
      </w:r>
      <w:r>
        <w:t xml:space="preserve"> </w:t>
      </w:r>
      <w:r>
        <w:rPr>
          <w:b/>
          <w:bCs/>
        </w:rPr>
        <w:t xml:space="preserve">$1.85 billion of 1Q26 sales</w:t>
      </w:r>
      <w:r>
        <w:t xml:space="preserve">, up</w:t>
      </w:r>
      <w:r>
        <w:t xml:space="preserve"> </w:t>
      </w:r>
      <w:r>
        <w:rPr>
          <w:b/>
          <w:bCs/>
        </w:rPr>
        <w:t xml:space="preserve">36% year over year</w:t>
      </w:r>
      <w:r>
        <w:t xml:space="preserve">, with segment net income up</w:t>
      </w:r>
      <w:r>
        <w:t xml:space="preserve"> </w:t>
      </w:r>
      <w:r>
        <w:rPr>
          <w:b/>
          <w:bCs/>
        </w:rPr>
        <w:t xml:space="preserve">93%</w:t>
      </w:r>
      <w:r>
        <w:t xml:space="preserve">. Both Enterprise and Carrier grew 36% in the first quarter, but Enterprise—driven by AI data-center fiber, cable, and connectivity demand—is the critical swing factor for the equity narrative.</w:t>
      </w:r>
    </w:p>
    <w:bookmarkStart w:id="12" w:name="what-bulls-want-to-hear"/>
    <w:p>
      <w:pPr>
        <w:pStyle w:val="Heading3"/>
      </w:pPr>
      <w:r>
        <w:t xml:space="preserve">What bulls want to hear</w:t>
      </w:r>
    </w:p>
    <w:p>
      <w:pPr>
        <w:numPr>
          <w:ilvl w:val="0"/>
          <w:numId w:val="1001"/>
        </w:numPr>
      </w:pPr>
      <w:r>
        <w:rPr>
          <w:b/>
          <w:bCs/>
        </w:rPr>
        <w:t xml:space="preserve">AI data-center demand remains firm and supply constraints are manageable.</w:t>
      </w:r>
      <w:r>
        <w:br/>
      </w:r>
      <w:r>
        <w:t xml:space="preserve">Corning has characterized demand for its GenAI optical products as robust and has entered into several large, multiyear customer agreements. Investors will look for confirmation that customer construction schedules, data-center power availability, and equipment supply chains are not meaningfully delaying order pull-through.</w:t>
      </w:r>
    </w:p>
    <w:p>
      <w:pPr>
        <w:numPr>
          <w:ilvl w:val="0"/>
          <w:numId w:val="1001"/>
        </w:numPr>
      </w:pPr>
      <w:r>
        <w:rPr>
          <w:b/>
          <w:bCs/>
        </w:rPr>
        <w:t xml:space="preserve">Long-term agreements are translating into visible capacity utilization and attractive economics.</w:t>
      </w:r>
      <w:r>
        <w:br/>
      </w:r>
      <w:r>
        <w:t xml:space="preserve">Management’s strategy is to expand capacity while sharing capital and volume risk with customers through a mix of commitments, funding, pricing, and/or other commercial mechanisms. The quality of those agreements matters as much as their headline size: investors want evidence that capital spending is backed by durable demand and will earn attractive returns.</w:t>
      </w:r>
    </w:p>
    <w:p>
      <w:pPr>
        <w:numPr>
          <w:ilvl w:val="0"/>
          <w:numId w:val="1001"/>
        </w:numPr>
      </w:pPr>
      <w:r>
        <w:rPr>
          <w:b/>
          <w:bCs/>
        </w:rPr>
        <w:t xml:space="preserve">Mix-driven margin expansion is continuing.</w:t>
      </w:r>
      <w:r>
        <w:br/>
      </w:r>
      <w:r>
        <w:t xml:space="preserve">Corning has emphasized that its profit opportunity comes less from bare-fiber price increases and more from selling higher-value integrated fiber, cable, and connectivity systems. Sustained Optical margin expansion would demonstrate that the company is converting AI demand into economic value rather than simply adding volume.</w:t>
      </w:r>
    </w:p>
    <w:p>
      <w:pPr>
        <w:numPr>
          <w:ilvl w:val="0"/>
          <w:numId w:val="1001"/>
        </w:numPr>
      </w:pPr>
      <w:r>
        <w:rPr>
          <w:b/>
          <w:bCs/>
        </w:rPr>
        <w:t xml:space="preserve">Carrier remains a complementary growth engine.</w:t>
      </w:r>
      <w:r>
        <w:br/>
      </w:r>
      <w:r>
        <w:t xml:space="preserve">Fiber-to-the-home, data-center interconnect, Lumen activity, and early BEAD-program shipments offer incremental support. Carrier may not grow in a straight line quarter-to-quarter, but it provides diversification beyond hyperscale Enterprise demand.</w:t>
      </w:r>
    </w:p>
    <w:bookmarkEnd w:id="12"/>
    <w:bookmarkStart w:id="13" w:name="what-bears-will-focus-on"/>
    <w:p>
      <w:pPr>
        <w:pStyle w:val="Heading3"/>
      </w:pPr>
      <w:r>
        <w:t xml:space="preserve">What bears will focus on</w:t>
      </w:r>
    </w:p>
    <w:p>
      <w:pPr>
        <w:pStyle w:val="Compact"/>
        <w:numPr>
          <w:ilvl w:val="0"/>
          <w:numId w:val="1002"/>
        </w:numPr>
      </w:pPr>
      <w:r>
        <w:t xml:space="preserve">Any sign that AI data-center construction is being deferred by power, permitting, or customer capex discipline.</w:t>
      </w:r>
    </w:p>
    <w:p>
      <w:pPr>
        <w:pStyle w:val="Compact"/>
        <w:numPr>
          <w:ilvl w:val="0"/>
          <w:numId w:val="1002"/>
        </w:numPr>
      </w:pPr>
      <w:r>
        <w:t xml:space="preserve">Lower-than-expected Optical sales or a deceleration in Enterprise growth.</w:t>
      </w:r>
    </w:p>
    <w:p>
      <w:pPr>
        <w:pStyle w:val="Compact"/>
        <w:numPr>
          <w:ilvl w:val="0"/>
          <w:numId w:val="1002"/>
        </w:numPr>
      </w:pPr>
      <w:r>
        <w:t xml:space="preserve">Signs that capacity additions are running ahead of committed demand.</w:t>
      </w:r>
    </w:p>
    <w:p>
      <w:pPr>
        <w:pStyle w:val="Compact"/>
        <w:numPr>
          <w:ilvl w:val="0"/>
          <w:numId w:val="1002"/>
        </w:numPr>
      </w:pPr>
      <w:r>
        <w:t xml:space="preserve">Evidence that heightened competition or customer purchasing power is limiting mix or margin expansion.</w:t>
      </w:r>
    </w:p>
    <w:p>
      <w:pPr>
        <w:pStyle w:val="Compact"/>
        <w:numPr>
          <w:ilvl w:val="0"/>
          <w:numId w:val="1002"/>
        </w:numPr>
      </w:pPr>
      <w:r>
        <w:t xml:space="preserve">Weakness in conventional telecom, consumer-electronics, display, or automotive markets offsetting the AI contribution.</w:t>
      </w:r>
    </w:p>
    <w:p>
      <w:r>
        <w:pict>
          <v:rect style="width:0;height:1.5pt" o:hralign="center" o:hrstd="t" o:hr="t"/>
        </w:pict>
      </w:r>
    </w:p>
    <w:bookmarkEnd w:id="13"/>
    <w:bookmarkEnd w:id="14"/>
    <w:bookmarkStart w:id="15" w:name="Xa913d6419675c62315bba17373a7ba3e22dc4de"/>
    <w:p>
      <w:pPr>
        <w:pStyle w:val="Heading2"/>
      </w:pPr>
      <w:r>
        <w:t xml:space="preserve">Springboard credibility: the outlook matters more than 2Q results</w:t>
      </w:r>
    </w:p>
    <w:p>
      <w:pPr>
        <w:pStyle w:val="FirstParagraph"/>
      </w:pPr>
      <w:r>
        <w:t xml:space="preserve">At its May investor event, Corning substantially raised its long-term ambitions:</w:t>
      </w:r>
    </w:p>
    <w:p>
      <w:pPr>
        <w:pStyle w:val="Compact"/>
        <w:numPr>
          <w:ilvl w:val="0"/>
          <w:numId w:val="1003"/>
        </w:numPr>
      </w:pPr>
      <w:r>
        <w:rPr>
          <w:b/>
          <w:bCs/>
        </w:rPr>
        <w:t xml:space="preserve">Internal plan:</w:t>
      </w:r>
      <w:r>
        <w:t xml:space="preserve"> </w:t>
      </w:r>
      <w:r>
        <w:t xml:space="preserve">$30 billion annualized sales run rate by year-end 2028 and $40 billion by year-end 2030.</w:t>
      </w:r>
    </w:p>
    <w:p>
      <w:pPr>
        <w:pStyle w:val="Compact"/>
        <w:numPr>
          <w:ilvl w:val="0"/>
          <w:numId w:val="1003"/>
        </w:numPr>
      </w:pPr>
      <w:r>
        <w:rPr>
          <w:b/>
          <w:bCs/>
        </w:rPr>
        <w:t xml:space="preserve">“High-confidence” plan:</w:t>
      </w:r>
      <w:r>
        <w:t xml:space="preserve"> </w:t>
      </w:r>
      <w:r>
        <w:t xml:space="preserve">$27 billion by year-end 2028 and $35 billion by year-end 2030.</w:t>
      </w:r>
    </w:p>
    <w:p>
      <w:pPr>
        <w:pStyle w:val="Compact"/>
        <w:numPr>
          <w:ilvl w:val="0"/>
          <w:numId w:val="1003"/>
        </w:numPr>
      </w:pPr>
      <w:r>
        <w:t xml:space="preserve">The company expects growth to accelerate from 2027, with Enterprise optical content per GPU potentially growing</w:t>
      </w:r>
      <w:r>
        <w:t xml:space="preserve"> </w:t>
      </w:r>
      <w:r>
        <w:rPr>
          <w:b/>
          <w:bCs/>
        </w:rPr>
        <w:t xml:space="preserve">1.3x–1.5x faster than GPU growth through 2028</w:t>
      </w:r>
      <w:r>
        <w:t xml:space="preserve">.</w:t>
      </w:r>
    </w:p>
    <w:p>
      <w:pPr>
        <w:pStyle w:val="FirstParagraph"/>
      </w:pPr>
      <w:r>
        <w:t xml:space="preserve">The long-term upside is tied to three developments:</w:t>
      </w:r>
    </w:p>
    <w:p>
      <w:pPr>
        <w:pStyle w:val="Compact"/>
        <w:numPr>
          <w:ilvl w:val="0"/>
          <w:numId w:val="1004"/>
        </w:numPr>
      </w:pPr>
      <w:r>
        <w:t xml:space="preserve">Larger GPU clusters requiring additional optical network layers;</w:t>
      </w:r>
    </w:p>
    <w:p>
      <w:pPr>
        <w:pStyle w:val="Compact"/>
        <w:numPr>
          <w:ilvl w:val="0"/>
          <w:numId w:val="1004"/>
        </w:numPr>
      </w:pPr>
      <w:r>
        <w:t xml:space="preserve">Optical adoption in scale-up networks, not only traditional scale-out networks;</w:t>
      </w:r>
    </w:p>
    <w:p>
      <w:pPr>
        <w:pStyle w:val="Compact"/>
        <w:numPr>
          <w:ilvl w:val="0"/>
          <w:numId w:val="1004"/>
        </w:numPr>
      </w:pPr>
      <w:r>
        <w:t xml:space="preserve">The new Photonics platform, which seeks to place Corning content “inside the box” in co-packaged and near-package optical architectures.</w:t>
      </w:r>
    </w:p>
    <w:p>
      <w:pPr>
        <w:pStyle w:val="FirstParagraph"/>
      </w:pPr>
      <w:r>
        <w:t xml:space="preserve">This is an attractive framework, but it introduces a timing problem. The company itself has acknowledged that the pace of optical scale-up and co-packaged-optics adoption is difficult to forecast. Thus, investors should distinguish between:</w:t>
      </w:r>
    </w:p>
    <w:p>
      <w:pPr>
        <w:pStyle w:val="Compact"/>
        <w:numPr>
          <w:ilvl w:val="0"/>
          <w:numId w:val="1005"/>
        </w:numPr>
      </w:pPr>
      <w:r>
        <w:rPr>
          <w:b/>
          <w:bCs/>
        </w:rPr>
        <w:t xml:space="preserve">Near-term evidence:</w:t>
      </w:r>
      <w:r>
        <w:t xml:space="preserve"> </w:t>
      </w:r>
      <w:r>
        <w:t xml:space="preserve">Enterprise demand, backlog/commitments, capacity utilization, and margins; and</w:t>
      </w:r>
    </w:p>
    <w:p>
      <w:pPr>
        <w:pStyle w:val="Compact"/>
        <w:numPr>
          <w:ilvl w:val="0"/>
          <w:numId w:val="1005"/>
        </w:numPr>
      </w:pPr>
      <w:r>
        <w:rPr>
          <w:b/>
          <w:bCs/>
        </w:rPr>
        <w:t xml:space="preserve">Long-duration optionality:</w:t>
      </w:r>
      <w:r>
        <w:t xml:space="preserve"> </w:t>
      </w:r>
      <w:r>
        <w:t xml:space="preserve">scale-up, photonics, and the $10 billion potential Photonics revenue opportunity described for 2030.</w:t>
      </w:r>
    </w:p>
    <w:p>
      <w:pPr>
        <w:pStyle w:val="FirstParagraph"/>
      </w:pPr>
      <w:r>
        <w:t xml:space="preserve">A constructive call would reiterate confidence in the high-confidence plan while offering evidence that the timing of the larger opportunities is becoming more visible. A cautious call would likely emphasize that the secular opportunity is intact but that implementation timing remains uncertain.</w:t>
      </w:r>
    </w:p>
    <w:p>
      <w:r>
        <w:pict>
          <v:rect style="width:0;height:1.5pt" o:hralign="center" o:hrstd="t" o:hr="t"/>
        </w:pict>
      </w:r>
    </w:p>
    <w:bookmarkEnd w:id="15"/>
    <w:bookmarkStart w:id="17" w:name="solar-the-key-execution-overhang"/>
    <w:p>
      <w:pPr>
        <w:pStyle w:val="Heading2"/>
      </w:pPr>
      <w:r>
        <w:t xml:space="preserve">Solar: the key execution overhang</w:t>
      </w:r>
    </w:p>
    <w:p>
      <w:pPr>
        <w:pStyle w:val="FirstParagraph"/>
      </w:pPr>
      <w:r>
        <w:t xml:space="preserve">Solar is strategically important but currently the main drag on consolidated profitability.</w:t>
      </w:r>
    </w:p>
    <w:p>
      <w:pPr>
        <w:pStyle w:val="BodyText"/>
      </w:pPr>
      <w:r>
        <w:t xml:space="preserve">In 1Q26, Solar sales grew</w:t>
      </w:r>
      <w:r>
        <w:t xml:space="preserve"> </w:t>
      </w:r>
      <w:r>
        <w:rPr>
          <w:b/>
          <w:bCs/>
        </w:rPr>
        <w:t xml:space="preserve">80% year over year to</w:t>
      </w:r>
      <w:r>
        <w:rPr>
          <w:b/>
          <w:bCs/>
        </w:rPr>
        <w:t xml:space="preserve"> </w:t>
      </w:r>
      <m:oMath>
        <m:r>
          <m:t>370</m:t>
        </m:r>
        <m:r>
          <m:t>m</m:t>
        </m:r>
        <m:r>
          <m:t>i</m:t>
        </m:r>
        <m:r>
          <m:t>l</m:t>
        </m:r>
        <m:r>
          <m:t>l</m:t>
        </m:r>
        <m:r>
          <m:t>i</m:t>
        </m:r>
        <m:r>
          <m:t>o</m:t>
        </m:r>
        <m:r>
          <m:t>n</m:t>
        </m:r>
        <m:r>
          <m:rPr>
            <m:sty m:val="p"/>
          </m:rPr>
          <m:t>*</m:t>
        </m:r>
        <m:r>
          <m:rPr>
            <m:sty m:val="p"/>
          </m:rPr>
          <m:t>*</m:t>
        </m:r>
        <m:r>
          <m:rPr>
            <m:sty m:val="p"/>
          </m:rPr>
          <m:t>,</m:t>
        </m:r>
        <m:r>
          <m:t>b</m:t>
        </m:r>
        <m:r>
          <m:t>u</m:t>
        </m:r>
        <m:r>
          <m:t>t</m:t>
        </m:r>
        <m:r>
          <m:t>s</m:t>
        </m:r>
        <m:r>
          <m:t>e</m:t>
        </m:r>
        <m:r>
          <m:t>g</m:t>
        </m:r>
        <m:r>
          <m:t>m</m:t>
        </m:r>
        <m:r>
          <m:t>e</m:t>
        </m:r>
        <m:r>
          <m:t>n</m:t>
        </m:r>
        <m:r>
          <m:t>t</m:t>
        </m:r>
        <m:r>
          <m:t>n</m:t>
        </m:r>
        <m:r>
          <m:t>e</m:t>
        </m:r>
        <m:r>
          <m:t>t</m:t>
        </m:r>
        <m:r>
          <m:t>i</m:t>
        </m:r>
        <m:r>
          <m:t>n</m:t>
        </m:r>
        <m:r>
          <m:t>c</m:t>
        </m:r>
        <m:r>
          <m:t>o</m:t>
        </m:r>
        <m:r>
          <m:t>m</m:t>
        </m:r>
        <m:r>
          <m:t>e</m:t>
        </m:r>
        <m:r>
          <m:t>f</m:t>
        </m:r>
        <m:r>
          <m:t>e</m:t>
        </m:r>
        <m:r>
          <m:t>l</m:t>
        </m:r>
        <m:r>
          <m:t>l</m:t>
        </m:r>
        <m:r>
          <m:t>t</m:t>
        </m:r>
        <m:r>
          <m:t>o</m:t>
        </m:r>
        <m:r>
          <m:rPr>
            <m:sty m:val="p"/>
          </m:rPr>
          <m:t>*</m:t>
        </m:r>
        <m:r>
          <m:rPr>
            <m:sty m:val="p"/>
          </m:rPr>
          <m:t>*</m:t>
        </m:r>
      </m:oMath>
      <w:r>
        <w:rPr>
          <w:b/>
          <w:bCs/>
        </w:rPr>
        <w:t xml:space="preserve">7 million</w:t>
      </w:r>
      <w:r>
        <w:t xml:space="preserve"> </w:t>
      </w:r>
      <w:r>
        <w:t xml:space="preserve">as Corning continued to ramp its wafer operation. The business comprises polysilicon, wafers, and modules:</w:t>
      </w:r>
    </w:p>
    <w:p>
      <w:pPr>
        <w:pStyle w:val="Compact"/>
        <w:numPr>
          <w:ilvl w:val="0"/>
          <w:numId w:val="1006"/>
        </w:numPr>
      </w:pPr>
      <w:r>
        <w:rPr>
          <w:b/>
          <w:bCs/>
        </w:rPr>
        <w:t xml:space="preserve">Polysilicon:</w:t>
      </w:r>
      <w:r>
        <w:t xml:space="preserve"> </w:t>
      </w:r>
      <w:r>
        <w:t xml:space="preserve">already operating above the company’s 20% corporate operating-margin target.</w:t>
      </w:r>
    </w:p>
    <w:p>
      <w:pPr>
        <w:pStyle w:val="Compact"/>
        <w:numPr>
          <w:ilvl w:val="0"/>
          <w:numId w:val="1006"/>
        </w:numPr>
      </w:pPr>
      <w:r>
        <w:rPr>
          <w:b/>
          <w:bCs/>
        </w:rPr>
        <w:t xml:space="preserve">Modules:</w:t>
      </w:r>
      <w:r>
        <w:t xml:space="preserve"> </w:t>
      </w:r>
      <w:r>
        <w:t xml:space="preserve">expected to cross the 20% margin threshold in 2Q.</w:t>
      </w:r>
    </w:p>
    <w:p>
      <w:pPr>
        <w:pStyle w:val="Compact"/>
        <w:numPr>
          <w:ilvl w:val="0"/>
          <w:numId w:val="1006"/>
        </w:numPr>
      </w:pPr>
      <w:r>
        <w:rPr>
          <w:b/>
          <w:bCs/>
        </w:rPr>
        <w:t xml:space="preserve">Wafers:</w:t>
      </w:r>
      <w:r>
        <w:t xml:space="preserve"> </w:t>
      </w:r>
      <w:r>
        <w:t xml:space="preserve">the main problem area, requiring the extended shutdown, conversion to permanent utilities, equipment modifications, and higher throughput over time.</w:t>
      </w:r>
    </w:p>
    <w:bookmarkStart w:id="16" w:name="solar-questions-for-the-call"/>
    <w:p>
      <w:pPr>
        <w:pStyle w:val="Heading3"/>
      </w:pPr>
      <w:r>
        <w:t xml:space="preserve">Solar questions for the call</w:t>
      </w:r>
    </w:p>
    <w:p>
      <w:pPr>
        <w:pStyle w:val="Compact"/>
        <w:numPr>
          <w:ilvl w:val="0"/>
          <w:numId w:val="1007"/>
        </w:numPr>
      </w:pPr>
      <w:r>
        <w:t xml:space="preserve">Has the shutdown proceeded on schedule?</w:t>
      </w:r>
    </w:p>
    <w:p>
      <w:pPr>
        <w:pStyle w:val="Compact"/>
        <w:numPr>
          <w:ilvl w:val="0"/>
          <w:numId w:val="1007"/>
        </w:numPr>
      </w:pPr>
      <w:r>
        <w:t xml:space="preserve">When will wafer production restart, and when should investors expect material sequential improvement?</w:t>
      </w:r>
    </w:p>
    <w:p>
      <w:pPr>
        <w:pStyle w:val="Compact"/>
        <w:numPr>
          <w:ilvl w:val="0"/>
          <w:numId w:val="1007"/>
        </w:numPr>
      </w:pPr>
      <w:r>
        <w:t xml:space="preserve">Is committed wafer demand still intact?</w:t>
      </w:r>
    </w:p>
    <w:p>
      <w:pPr>
        <w:pStyle w:val="Compact"/>
        <w:numPr>
          <w:ilvl w:val="0"/>
          <w:numId w:val="1007"/>
        </w:numPr>
      </w:pPr>
      <w:r>
        <w:t xml:space="preserve">Does management still expect Solar to exceed</w:t>
      </w:r>
      <w:r>
        <w:t xml:space="preserve"> </w:t>
      </w:r>
      <w:r>
        <w:rPr>
          <w:b/>
          <w:bCs/>
        </w:rPr>
        <w:t xml:space="preserve">$3 billion of sales</w:t>
      </w:r>
      <w:r>
        <w:t xml:space="preserve"> </w:t>
      </w:r>
      <w:r>
        <w:t xml:space="preserve">within the 2030 planning horizon?</w:t>
      </w:r>
    </w:p>
    <w:p>
      <w:pPr>
        <w:pStyle w:val="Compact"/>
        <w:numPr>
          <w:ilvl w:val="0"/>
          <w:numId w:val="1007"/>
        </w:numPr>
      </w:pPr>
      <w:r>
        <w:t xml:space="preserve">Can the company quantify the remaining margin/EPS drag after 2Q?</w:t>
      </w:r>
    </w:p>
    <w:p>
      <w:pPr>
        <w:pStyle w:val="FirstParagraph"/>
      </w:pPr>
      <w:r>
        <w:t xml:space="preserve">The ideal outcome is that 2Q marks the trough in solar profitability, allowing the business to turn from an earnings headwind into a contributor during 2027–2028. The risk is that a more complicated restart extends the drag and erodes confidence in management’s capital-intensity and execution assumptions.</w:t>
      </w:r>
    </w:p>
    <w:p>
      <w:r>
        <w:pict>
          <v:rect style="width:0;height:1.5pt" o:hralign="center" o:hrstd="t" o:hr="t"/>
        </w:pict>
      </w:r>
    </w:p>
    <w:bookmarkEnd w:id="16"/>
    <w:bookmarkEnd w:id="17"/>
    <w:bookmarkStart w:id="20" w:name="X219ebc5010c1655d5af2200dc0645e64b30d55f"/>
    <w:p>
      <w:pPr>
        <w:pStyle w:val="Heading2"/>
      </w:pPr>
      <w:r>
        <w:t xml:space="preserve">Other segments: stable execution still matters</w:t>
      </w:r>
    </w:p>
    <w:bookmarkStart w:id="18" w:name="glass-innovations"/>
    <w:p>
      <w:pPr>
        <w:pStyle w:val="Heading3"/>
      </w:pPr>
      <w:r>
        <w:t xml:space="preserve">Glass Innovations</w:t>
      </w:r>
    </w:p>
    <w:p>
      <w:pPr>
        <w:pStyle w:val="FirstParagraph"/>
      </w:pPr>
      <w:r>
        <w:t xml:space="preserve">Glass Innovations generated</w:t>
      </w:r>
      <w:r>
        <w:t xml:space="preserve"> </w:t>
      </w:r>
      <w:r>
        <w:rPr>
          <w:b/>
          <w:bCs/>
        </w:rPr>
        <w:t xml:space="preserve">$1.42 billion of 1Q26 sales</w:t>
      </w:r>
      <w:r>
        <w:t xml:space="preserve">, up only</w:t>
      </w:r>
      <w:r>
        <w:t xml:space="preserve"> </w:t>
      </w:r>
      <w:r>
        <w:rPr>
          <w:b/>
          <w:bCs/>
        </w:rPr>
        <w:t xml:space="preserve">1% year over year</w:t>
      </w:r>
      <w:r>
        <w:t xml:space="preserve">, and a healthy</w:t>
      </w:r>
      <w:r>
        <w:t xml:space="preserve"> </w:t>
      </w:r>
      <w:r>
        <w:rPr>
          <w:b/>
          <w:bCs/>
        </w:rPr>
        <w:t xml:space="preserve">22.8% net-income margin</w:t>
      </w:r>
      <w:r>
        <w:t xml:space="preserve">. The segment combines Display and Specialty Materials. Key items to monitor:</w:t>
      </w:r>
    </w:p>
    <w:p>
      <w:pPr>
        <w:pStyle w:val="Compact"/>
        <w:numPr>
          <w:ilvl w:val="0"/>
          <w:numId w:val="1008"/>
        </w:numPr>
      </w:pPr>
      <w:r>
        <w:t xml:space="preserve">Display-glass volume and price discipline;</w:t>
      </w:r>
    </w:p>
    <w:p>
      <w:pPr>
        <w:pStyle w:val="Compact"/>
        <w:numPr>
          <w:ilvl w:val="0"/>
          <w:numId w:val="1008"/>
        </w:numPr>
      </w:pPr>
      <w:r>
        <w:t xml:space="preserve">The impact of elevated memory costs on TV, IT, and smartphone demand;</w:t>
      </w:r>
    </w:p>
    <w:p>
      <w:pPr>
        <w:pStyle w:val="Compact"/>
        <w:numPr>
          <w:ilvl w:val="0"/>
          <w:numId w:val="1008"/>
        </w:numPr>
      </w:pPr>
      <w:r>
        <w:t xml:space="preserve">Gorilla Glass and ceramic-content growth in premium devices;</w:t>
      </w:r>
    </w:p>
    <w:p>
      <w:pPr>
        <w:pStyle w:val="Compact"/>
        <w:numPr>
          <w:ilvl w:val="0"/>
          <w:numId w:val="1008"/>
        </w:numPr>
      </w:pPr>
      <w:r>
        <w:t xml:space="preserve">Demand for semiconductor-related advanced optics and EUV applications.</w:t>
      </w:r>
    </w:p>
    <w:p>
      <w:pPr>
        <w:pStyle w:val="FirstParagraph"/>
      </w:pPr>
      <w:r>
        <w:t xml:space="preserve">Management’s long-term plan assumes broadly flat consumer-electronics end markets. That makes downside here manageable in the long-range model—but it also means Optical must continue carrying the growth narrative.</w:t>
      </w:r>
    </w:p>
    <w:bookmarkEnd w:id="18"/>
    <w:bookmarkStart w:id="19" w:name="Xf026e9e27f1130847480930cbcba745ef80ab4a"/>
    <w:p>
      <w:pPr>
        <w:pStyle w:val="Heading3"/>
      </w:pPr>
      <w:r>
        <w:t xml:space="preserve">Automotive and Life Sciences / Emerging Growth</w:t>
      </w:r>
    </w:p>
    <w:p>
      <w:pPr>
        <w:pStyle w:val="FirstParagraph"/>
      </w:pPr>
      <w:r>
        <w:t xml:space="preserve">Automotive was broadly flat in 1Q, with lower global vehicle demand partially offset by Corning content gains. These businesses are unlikely to determine the stock reaction, but unexpected weakness could reduce the consolidated cushion if Solar remains challenged.</w:t>
      </w:r>
    </w:p>
    <w:p>
      <w:r>
        <w:pict>
          <v:rect style="width:0;height:1.5pt" o:hralign="center" o:hrstd="t" o:hr="t"/>
        </w:pict>
      </w:r>
    </w:p>
    <w:bookmarkEnd w:id="19"/>
    <w:bookmarkEnd w:id="20"/>
    <w:bookmarkStart w:id="21" w:name="Xcf8740a9cbf664a59d73282f51c61cb25819d23"/>
    <w:p>
      <w:pPr>
        <w:pStyle w:val="Heading2"/>
      </w:pPr>
      <w:r>
        <w:t xml:space="preserve">Capital allocation and cash flow: watch the funding model</w:t>
      </w:r>
    </w:p>
    <w:p>
      <w:pPr>
        <w:pStyle w:val="FirstParagraph"/>
      </w:pPr>
      <w:r>
        <w:t xml:space="preserve">Corning is in a period of elevated investment. Management indicated 2026 capital spending of roughly</w:t>
      </w:r>
      <w:r>
        <w:t xml:space="preserve"> </w:t>
      </w:r>
      <w:r>
        <w:rPr>
          <w:b/>
          <w:bCs/>
        </w:rPr>
        <w:t xml:space="preserve">$1.7 billion</w:t>
      </w:r>
      <w:r>
        <w:t xml:space="preserve">, potentially somewhat higher, as it expands optical, solar, and related capacity. The critical distinction versus past investment cycles is management’s claim that customer arrangements will allow operating cash flow to rise faster than capex, supporting growing free cash flow even during expansion.</w:t>
      </w:r>
    </w:p>
    <w:p>
      <w:pPr>
        <w:pStyle w:val="BodyText"/>
      </w:pPr>
      <w:r>
        <w:t xml:space="preserve">Items to watch:</w:t>
      </w:r>
    </w:p>
    <w:p>
      <w:pPr>
        <w:pStyle w:val="Compact"/>
        <w:numPr>
          <w:ilvl w:val="0"/>
          <w:numId w:val="1009"/>
        </w:numPr>
      </w:pPr>
      <w:r>
        <w:t xml:space="preserve">Any change to 2026 capex expectations;</w:t>
      </w:r>
    </w:p>
    <w:p>
      <w:pPr>
        <w:pStyle w:val="Compact"/>
        <w:numPr>
          <w:ilvl w:val="0"/>
          <w:numId w:val="1009"/>
        </w:numPr>
      </w:pPr>
      <w:r>
        <w:t xml:space="preserve">Customer funding, deposits, guaranteed volumes, or other risk-sharing arrangements;</w:t>
      </w:r>
    </w:p>
    <w:p>
      <w:pPr>
        <w:pStyle w:val="Compact"/>
        <w:numPr>
          <w:ilvl w:val="0"/>
          <w:numId w:val="1009"/>
        </w:numPr>
      </w:pPr>
      <w:r>
        <w:t xml:space="preserve">Working-capital movement as optical volume scales;</w:t>
      </w:r>
    </w:p>
    <w:p>
      <w:pPr>
        <w:pStyle w:val="Compact"/>
        <w:numPr>
          <w:ilvl w:val="0"/>
          <w:numId w:val="1009"/>
        </w:numPr>
      </w:pPr>
      <w:r>
        <w:t xml:space="preserve">Free-cash-flow commentary for the full year;</w:t>
      </w:r>
    </w:p>
    <w:p>
      <w:pPr>
        <w:pStyle w:val="Compact"/>
        <w:numPr>
          <w:ilvl w:val="0"/>
          <w:numId w:val="1009"/>
        </w:numPr>
      </w:pPr>
      <w:r>
        <w:t xml:space="preserve">Confirmation that Optical’s return profile can remain attractive despite capacity expansion.</w:t>
      </w:r>
    </w:p>
    <w:p>
      <w:pPr>
        <w:pStyle w:val="FirstParagraph"/>
      </w:pPr>
      <w:r>
        <w:t xml:space="preserve">In 1Q, Corning generated</w:t>
      </w:r>
      <w:r>
        <w:t xml:space="preserve"> </w:t>
      </w:r>
      <m:oMath>
        <m:r>
          <m:t>362</m:t>
        </m:r>
        <m:r>
          <m:t>m</m:t>
        </m:r>
        <m:r>
          <m:t>i</m:t>
        </m:r>
        <m:r>
          <m:t>l</m:t>
        </m:r>
        <m:r>
          <m:t>l</m:t>
        </m:r>
        <m:r>
          <m:t>i</m:t>
        </m:r>
        <m:r>
          <m:t>o</m:t>
        </m:r>
        <m:r>
          <m:t>n</m:t>
        </m:r>
        <m:r>
          <m:t>o</m:t>
        </m:r>
        <m:r>
          <m:t>f</m:t>
        </m:r>
        <m:r>
          <m:t>o</m:t>
        </m:r>
        <m:r>
          <m:t>p</m:t>
        </m:r>
        <m:r>
          <m:t>e</m:t>
        </m:r>
        <m:r>
          <m:t>r</m:t>
        </m:r>
        <m:r>
          <m:t>a</m:t>
        </m:r>
        <m:r>
          <m:t>t</m:t>
        </m:r>
        <m:r>
          <m:t>i</m:t>
        </m:r>
        <m:r>
          <m:t>n</m:t>
        </m:r>
        <m:r>
          <m:t>g</m:t>
        </m:r>
        <m:r>
          <m:t>c</m:t>
        </m:r>
        <m:r>
          <m:t>a</m:t>
        </m:r>
        <m:r>
          <m:t>s</m:t>
        </m:r>
        <m:r>
          <m:t>h</m:t>
        </m:r>
        <m:r>
          <m:t>f</m:t>
        </m:r>
        <m:r>
          <m:t>l</m:t>
        </m:r>
        <m:r>
          <m:t>o</m:t>
        </m:r>
        <m:r>
          <m:t>w</m:t>
        </m:r>
        <m:r>
          <m:rPr>
            <m:sty m:val="p"/>
          </m:rPr>
          <m:t>*</m:t>
        </m:r>
        <m:r>
          <m:rPr>
            <m:sty m:val="p"/>
          </m:rPr>
          <m:t>*</m:t>
        </m:r>
        <m:r>
          <m:rPr>
            <m:sty m:val="p"/>
          </m:rPr>
          <m:t>,</m:t>
        </m:r>
        <m:r>
          <m:t>s</m:t>
        </m:r>
        <m:r>
          <m:t>p</m:t>
        </m:r>
        <m:r>
          <m:t>e</m:t>
        </m:r>
        <m:r>
          <m:t>n</m:t>
        </m:r>
        <m:r>
          <m:t>t</m:t>
        </m:r>
        <m:r>
          <m:rPr>
            <m:sty m:val="p"/>
          </m:rPr>
          <m:t>*</m:t>
        </m:r>
        <m:r>
          <m:rPr>
            <m:sty m:val="p"/>
          </m:rPr>
          <m:t>*</m:t>
        </m:r>
      </m:oMath>
      <w:r>
        <w:rPr>
          <w:b/>
          <w:bCs/>
        </w:rPr>
        <w:t xml:space="preserve">332 million of capex</w:t>
      </w:r>
      <w:r>
        <w:t xml:space="preserve">, and reported</w:t>
      </w:r>
      <w:r>
        <w:t xml:space="preserve"> </w:t>
      </w:r>
      <w:r>
        <w:rPr>
          <w:b/>
          <w:bCs/>
        </w:rPr>
        <w:t xml:space="preserve">$188 million of adjusted free cash flow</w:t>
      </w:r>
      <w:r>
        <w:t xml:space="preserve">. The company expects significantly higher full-year free cash flow year over year, but 2Q commentary will determine how credible that expectation remains.</w:t>
      </w:r>
    </w:p>
    <w:p>
      <w:r>
        <w:pict>
          <v:rect style="width:0;height:1.5pt" o:hralign="center" o:hrstd="t" o:hr="t"/>
        </w:pict>
      </w:r>
    </w:p>
    <w:bookmarkEnd w:id="21"/>
    <w:bookmarkStart w:id="24" w:name="earnings-call-scorecard"/>
    <w:p>
      <w:pPr>
        <w:pStyle w:val="Heading2"/>
      </w:pPr>
      <w:r>
        <w:t xml:space="preserve">Earnings-call scorecard</w:t>
      </w:r>
    </w:p>
    <w:bookmarkStart w:id="22" w:name="positive-read-through"/>
    <w:p>
      <w:pPr>
        <w:pStyle w:val="Heading3"/>
      </w:pPr>
      <w:r>
        <w:t xml:space="preserve">Positive read-through</w:t>
      </w:r>
    </w:p>
    <w:p>
      <w:pPr>
        <w:pStyle w:val="Compact"/>
        <w:numPr>
          <w:ilvl w:val="0"/>
          <w:numId w:val="1010"/>
        </w:numPr>
      </w:pPr>
      <w:r>
        <w:t xml:space="preserve">Core sales and EPS at or above the high end of guidance;</w:t>
      </w:r>
    </w:p>
    <w:p>
      <w:pPr>
        <w:pStyle w:val="Compact"/>
        <w:numPr>
          <w:ilvl w:val="0"/>
          <w:numId w:val="1010"/>
        </w:numPr>
      </w:pPr>
      <w:r>
        <w:t xml:space="preserve">Optical Communications near or above the ~$1.99 billion consensus expectation;</w:t>
      </w:r>
    </w:p>
    <w:p>
      <w:pPr>
        <w:pStyle w:val="Compact"/>
        <w:numPr>
          <w:ilvl w:val="0"/>
          <w:numId w:val="1010"/>
        </w:numPr>
      </w:pPr>
      <w:r>
        <w:t xml:space="preserve">Strong Enterprise demand and no material project-delay commentary;</w:t>
      </w:r>
    </w:p>
    <w:p>
      <w:pPr>
        <w:pStyle w:val="Compact"/>
        <w:numPr>
          <w:ilvl w:val="0"/>
          <w:numId w:val="1010"/>
        </w:numPr>
      </w:pPr>
      <w:r>
        <w:t xml:space="preserve">Stable-to-improving Optical profitability;</w:t>
      </w:r>
    </w:p>
    <w:p>
      <w:pPr>
        <w:pStyle w:val="Compact"/>
        <w:numPr>
          <w:ilvl w:val="0"/>
          <w:numId w:val="1010"/>
        </w:numPr>
      </w:pPr>
      <w:r>
        <w:t xml:space="preserve">Clear confirmation that solar-wafer issues are temporary and that sequential improvement begins after 2Q;</w:t>
      </w:r>
    </w:p>
    <w:p>
      <w:pPr>
        <w:pStyle w:val="Compact"/>
        <w:numPr>
          <w:ilvl w:val="0"/>
          <w:numId w:val="1010"/>
        </w:numPr>
      </w:pPr>
      <w:r>
        <w:t xml:space="preserve">Confident 3Q and full-year cash-flow commentary;</w:t>
      </w:r>
    </w:p>
    <w:p>
      <w:pPr>
        <w:pStyle w:val="Compact"/>
        <w:numPr>
          <w:ilvl w:val="0"/>
          <w:numId w:val="1010"/>
        </w:numPr>
      </w:pPr>
      <w:r>
        <w:t xml:space="preserve">Additional evidence that long-term customer agreements support returns on new capacity.</w:t>
      </w:r>
    </w:p>
    <w:bookmarkEnd w:id="22"/>
    <w:bookmarkStart w:id="23" w:name="negative-read-through"/>
    <w:p>
      <w:pPr>
        <w:pStyle w:val="Heading3"/>
      </w:pPr>
      <w:r>
        <w:t xml:space="preserve">Negative read-through</w:t>
      </w:r>
    </w:p>
    <w:p>
      <w:pPr>
        <w:pStyle w:val="Compact"/>
        <w:numPr>
          <w:ilvl w:val="0"/>
          <w:numId w:val="1011"/>
        </w:numPr>
      </w:pPr>
      <w:r>
        <w:t xml:space="preserve">Optical growth misses expectations or management highlights customer digestion;</w:t>
      </w:r>
    </w:p>
    <w:p>
      <w:pPr>
        <w:pStyle w:val="Compact"/>
        <w:numPr>
          <w:ilvl w:val="0"/>
          <w:numId w:val="1011"/>
        </w:numPr>
      </w:pPr>
      <w:r>
        <w:t xml:space="preserve">Materially softer 3Q outlook, even if 2Q is in line;</w:t>
      </w:r>
    </w:p>
    <w:p>
      <w:pPr>
        <w:pStyle w:val="Compact"/>
        <w:numPr>
          <w:ilvl w:val="0"/>
          <w:numId w:val="1011"/>
        </w:numPr>
      </w:pPr>
      <w:r>
        <w:t xml:space="preserve">Delayed solar restart, higher costs, or less confidence in the wafer ramp;</w:t>
      </w:r>
    </w:p>
    <w:p>
      <w:pPr>
        <w:pStyle w:val="Compact"/>
        <w:numPr>
          <w:ilvl w:val="0"/>
          <w:numId w:val="1011"/>
        </w:numPr>
      </w:pPr>
      <w:r>
        <w:t xml:space="preserve">Higher capex without equally strong evidence of customer funding or contractual support;</w:t>
      </w:r>
    </w:p>
    <w:p>
      <w:pPr>
        <w:pStyle w:val="Compact"/>
        <w:numPr>
          <w:ilvl w:val="0"/>
          <w:numId w:val="1011"/>
        </w:numPr>
      </w:pPr>
      <w:r>
        <w:t xml:space="preserve">Meaningful deterioration in Glass Innovations due to consumer-electronics weakness;</w:t>
      </w:r>
    </w:p>
    <w:p>
      <w:pPr>
        <w:pStyle w:val="Compact"/>
        <w:numPr>
          <w:ilvl w:val="0"/>
          <w:numId w:val="1011"/>
        </w:numPr>
      </w:pPr>
      <w:r>
        <w:t xml:space="preserve">Increased emphasis on uncertain long-term photonics opportunity rather than tangible near-term order conversion.</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GLW’s 2Q26 report is best viewed as a test of</w:t>
      </w:r>
      <w:r>
        <w:t xml:space="preserve"> </w:t>
      </w:r>
      <w:r>
        <w:rPr>
          <w:b/>
          <w:bCs/>
        </w:rPr>
        <w:t xml:space="preserve">AI-optical demand durability, profit conversion, and execution discipline</w:t>
      </w:r>
      <w:r>
        <w:t xml:space="preserve">. The company has already provided a strong near-term setup: approximately $4.6 billion of core sales,</w:t>
      </w:r>
      <w:r>
        <w:t xml:space="preserve"> </w:t>
      </w:r>
      <m:oMath>
        <m:r>
          <m:t>0.73</m:t>
        </m:r>
        <m:r>
          <m:rPr>
            <m:sty m:val="p"/>
          </m:rPr>
          <m:t>–</m:t>
        </m:r>
      </m:oMath>
      <w:r>
        <w:t xml:space="preserve">0.77 of core EPS, and an acknowledged solar-related cost burden. That makes a simple beat achievable—but likely insufficient by itself.</w:t>
      </w:r>
    </w:p>
    <w:p>
      <w:pPr>
        <w:pStyle w:val="BodyText"/>
      </w:pPr>
      <w:r>
        <w:t xml:space="preserve">For investors, the decisive questions are whether Optical Communications can sustain high-growth, high-incremental-margin performance; whether customer-backed capacity expansion protects cash returns; and whether Solar is nearing an operational trough rather than developing into a protracted execution issue. If management answers those questions constructively, the sharp stock pullback may make the risk/reward more favorable. If it does not, the market is likely to remain skeptical of the longer-dated Springboard targets.</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2026-07-28T00:26:18Z</dcterms:created>
  <dcterms:modified xsi:type="dcterms:W3CDTF">2026-07-28T00:26:18Z</dcterms:modified>
</cp:coreProperties>
</file>

<file path=docProps/custom.xml><?xml version="1.0" encoding="utf-8"?>
<Properties xmlns="http://schemas.openxmlformats.org/officeDocument/2006/custom-properties" xmlns:vt="http://schemas.openxmlformats.org/officeDocument/2006/docPropsVTypes"/>
</file>