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Corning Incorporated (GLW)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Corning Incorporated</w:t>
            </w:r>
          </w:p>
        </w:tc>
      </w:tr>
      <w:tr>
        <w:tc>
          <w:tcPr>
            <w:tcW w:type="dxa" w:w="4320"/>
          </w:tcPr>
          <w:p>
            <w:r>
              <w:rPr>
                <w:rFonts w:ascii="Calibri" w:hAnsi="Calibri"/>
                <w:b/>
                <w:sz w:val="22"/>
              </w:rPr>
              <w:t>Ticker</w:t>
            </w:r>
          </w:p>
        </w:tc>
        <w:tc>
          <w:tcPr>
            <w:tcW w:type="dxa" w:w="4320"/>
          </w:tcPr>
          <w:p>
            <w:r>
              <w:rPr>
                <w:rFonts w:ascii="Calibri" w:hAnsi="Calibri"/>
                <w:sz w:val="22"/>
              </w:rPr>
              <w:t>GLW (NYSE)</w:t>
            </w:r>
          </w:p>
        </w:tc>
      </w:tr>
      <w:tr>
        <w:tc>
          <w:tcPr>
            <w:tcW w:type="dxa" w:w="4320"/>
          </w:tcPr>
          <w:p>
            <w:r>
              <w:rPr>
                <w:rFonts w:ascii="Calibri" w:hAnsi="Calibri"/>
                <w:b/>
                <w:sz w:val="22"/>
              </w:rPr>
              <w:t>Reporting Period</w:t>
            </w:r>
          </w:p>
        </w:tc>
        <w:tc>
          <w:tcPr>
            <w:tcW w:type="dxa" w:w="4320"/>
          </w:tcPr>
          <w:p>
            <w:r>
              <w:rPr>
                <w:rFonts w:ascii="Calibri" w:hAnsi="Calibri"/>
                <w:sz w:val="22"/>
              </w:rPr>
              <w:t>Q2 2026 (2QFY-2026,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~July 29, 2026</w:t>
            </w:r>
          </w:p>
        </w:tc>
      </w:tr>
      <w:tr>
        <w:tc>
          <w:tcPr>
            <w:tcW w:type="dxa" w:w="4320"/>
          </w:tcPr>
          <w:p>
            <w:r>
              <w:rPr>
                <w:rFonts w:ascii="Calibri" w:hAnsi="Calibri"/>
                <w:b/>
                <w:sz w:val="22"/>
              </w:rPr>
              <w:t>Last Earnings Date</w:t>
            </w:r>
          </w:p>
        </w:tc>
        <w:tc>
          <w:tcPr>
            <w:tcW w:type="dxa" w:w="4320"/>
          </w:tcPr>
          <w:p>
            <w:r>
              <w:rPr>
                <w:rFonts w:ascii="Calibri" w:hAnsi="Calibri"/>
                <w:sz w:val="22"/>
              </w:rPr>
              <w:t>April 28, 2026 (Q1 2026)</w:t>
            </w:r>
          </w:p>
        </w:tc>
      </w:tr>
      <w:tr>
        <w:tc>
          <w:tcPr>
            <w:tcW w:type="dxa" w:w="4320"/>
          </w:tcPr>
          <w:p>
            <w:r>
              <w:rPr>
                <w:rFonts w:ascii="Calibri" w:hAnsi="Calibri"/>
                <w:b/>
                <w:sz w:val="22"/>
              </w:rPr>
              <w:t>Prepared Date</w:t>
            </w:r>
          </w:p>
        </w:tc>
        <w:tc>
          <w:tcPr>
            <w:tcW w:type="dxa" w:w="4320"/>
          </w:tcPr>
          <w:p>
            <w:r>
              <w:rPr>
                <w:rFonts w:ascii="Calibri" w:hAnsi="Calibri"/>
                <w:sz w:val="22"/>
              </w:rPr>
              <w:t>July 27, 2026</w:t>
            </w:r>
          </w:p>
        </w:tc>
      </w:tr>
      <w:tr>
        <w:tc>
          <w:tcPr>
            <w:tcW w:type="dxa" w:w="4320"/>
          </w:tcPr>
          <w:p>
            <w:r>
              <w:rPr>
                <w:rFonts w:ascii="Calibri" w:hAnsi="Calibri"/>
                <w:b/>
                <w:sz w:val="22"/>
              </w:rPr>
              <w:t>Sector ETF</w:t>
            </w:r>
          </w:p>
        </w:tc>
        <w:tc>
          <w:tcPr>
            <w:tcW w:type="dxa" w:w="4320"/>
          </w:tcPr>
          <w:p>
            <w:r>
              <w:rPr>
                <w:rFonts w:ascii="Calibri" w:hAnsi="Calibri"/>
                <w:sz w:val="22"/>
              </w:rPr>
              <w:t>XLK (Technology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 — consensus is a manageable bar on revenue and EPS, but the stock has already given back most of its post-Q1 gains and the single biggest swing factor is whether the solar wafer drag is contained and optical demand commentary remains as bullish as the May 6 Investor Day suggested.</w:t>
      </w:r>
    </w:p>
    <w:p>
      <w:r>
        <w:rPr>
          <w:rFonts w:ascii="Calibri" w:hAnsi="Calibri"/>
          <w:color w:val="525866"/>
          <w:sz w:val="22"/>
        </w:rPr>
        <w:t>Heading into Q2 2026, the bar for Corning is achievable but not low: consensus expects ~$4.48B in revenue (+14% YoY, in line with management's own guidance of "approximately $4.6B") and core EPS of ~$0.76, implying ~25% YoY growth — both figures squarely within the guided range. Management's tone at the May 6 Investor Day was unambiguously bullish, upgrading the Springboard plan to a $40B annualized run-rate target by end of 2030 and announcing a fourth hyperscale agreement (Amazon, June 8) on top of the three disclosed on the Q1 call, reinforcing the optical demand narrative. Estimate revisions have been modestly positive since the Q1 print — Q2 revenue consensus has drifted up ~$48M and EPS up ~$0.002 from the post-earnings baseline — suggesting the Street has largely absorbed the guidance and is not pricing in a meaningful upside surprise. The stock, however, has been extremely volatile: it surged from ~$153 at the Q1 print to a peak of ~$256 on June 29 (driven by the Amazon deal and Investor Day enthusiasm), then sold off sharply to ~$143 by July 28 — below the Q1 earnings close — as the market appears to have front-run the good news and is now re-rating on execution risk. The key wildcard is the solar wafer maintenance shutdown: management guided ~$30M of incremental Q2 expense (~$0.07 EPS headwind), and any signal that the wafer ramp is back on track (or further delayed) will be the most important read-through for the 2H 2026 margin trajectory.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revenue and EPS are both within the guided range, leaving little room for a large beat but also limited downside if execution is clean. </w:t>
      </w:r>
      <w:r>
        <w:rPr>
          <w:rFonts w:ascii="Calibri" w:hAnsi="Calibri"/>
          <w:color w:val="525866"/>
          <w:sz w:val="22"/>
        </w:rPr>
        <w:t>Optical Communications revenue is the bigger swing factor; any upside there (driven by hyperscale demand acceleration) could offset the solar wafer drag.</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$4.144B</w:t>
            </w:r>
          </w:p>
        </w:tc>
        <w:tc>
          <w:tcPr>
            <w:tcW w:type="dxa" w:w="1234"/>
          </w:tcPr>
          <w:p>
            <w:r>
              <w:rPr>
                <w:rFonts w:ascii="Calibri" w:hAnsi="Calibri"/>
                <w:sz w:val="22"/>
              </w:rPr>
              <w:t>$3.862B</w:t>
            </w:r>
          </w:p>
        </w:tc>
        <w:tc>
          <w:tcPr>
            <w:tcW w:type="dxa" w:w="1234"/>
          </w:tcPr>
          <w:p>
            <w:r>
              <w:rPr>
                <w:rFonts w:ascii="Calibri" w:hAnsi="Calibri"/>
                <w:sz w:val="22"/>
              </w:rPr>
              <w:t>$4.478B</w:t>
            </w:r>
          </w:p>
        </w:tc>
        <w:tc>
          <w:tcPr>
            <w:tcW w:type="dxa" w:w="1234"/>
          </w:tcPr>
          <w:p>
            <w:r>
              <w:rPr>
                <w:rFonts w:ascii="Calibri" w:hAnsi="Calibri"/>
                <w:sz w:val="22"/>
              </w:rPr>
              <w:t>+15.9%</w:t>
            </w:r>
          </w:p>
        </w:tc>
        <w:tc>
          <w:tcPr>
            <w:tcW w:type="dxa" w:w="1234"/>
          </w:tcPr>
          <w:p>
            <w:r>
              <w:rPr>
                <w:rFonts w:ascii="Calibri" w:hAnsi="Calibri"/>
                <w:sz w:val="22"/>
              </w:rPr>
              <w:t>~$4.6B</w:t>
            </w:r>
          </w:p>
        </w:tc>
        <w:tc>
          <w:tcPr>
            <w:tcW w:type="dxa" w:w="1234"/>
          </w:tcPr>
          <w:p>
            <w:r>
              <w:rPr>
                <w:rFonts w:ascii="Calibri" w:hAnsi="Calibri"/>
                <w:sz w:val="22"/>
              </w:rPr>
              <w:t>-2.7% below midpoint</w:t>
            </w:r>
          </w:p>
        </w:tc>
      </w:tr>
      <w:tr>
        <w:tc>
          <w:tcPr>
            <w:tcW w:type="dxa" w:w="1234"/>
          </w:tcPr>
          <w:p>
            <w:r>
              <w:rPr>
                <w:rFonts w:ascii="Calibri" w:hAnsi="Calibri"/>
                <w:sz w:val="22"/>
              </w:rPr>
              <w:t>Core EPS (Diluted, Operating)</w:t>
            </w:r>
          </w:p>
        </w:tc>
        <w:tc>
          <w:tcPr>
            <w:tcW w:type="dxa" w:w="1234"/>
          </w:tcPr>
          <w:p>
            <w:r>
              <w:rPr>
                <w:rFonts w:ascii="Calibri" w:hAnsi="Calibri"/>
                <w:sz w:val="22"/>
              </w:rPr>
              <w:t>$0.70</w:t>
            </w:r>
          </w:p>
        </w:tc>
        <w:tc>
          <w:tcPr>
            <w:tcW w:type="dxa" w:w="1234"/>
          </w:tcPr>
          <w:p>
            <w:r>
              <w:rPr>
                <w:rFonts w:ascii="Calibri" w:hAnsi="Calibri"/>
                <w:sz w:val="22"/>
              </w:rPr>
              <w:t>$0.60</w:t>
            </w:r>
          </w:p>
        </w:tc>
        <w:tc>
          <w:tcPr>
            <w:tcW w:type="dxa" w:w="1234"/>
          </w:tcPr>
          <w:p>
            <w:r>
              <w:rPr>
                <w:rFonts w:ascii="Calibri" w:hAnsi="Calibri"/>
                <w:sz w:val="22"/>
              </w:rPr>
              <w:t>$0.762</w:t>
            </w:r>
          </w:p>
        </w:tc>
        <w:tc>
          <w:tcPr>
            <w:tcW w:type="dxa" w:w="1234"/>
          </w:tcPr>
          <w:p>
            <w:r>
              <w:rPr>
                <w:rFonts w:ascii="Calibri" w:hAnsi="Calibri"/>
                <w:sz w:val="22"/>
              </w:rPr>
              <w:t>+27.0%</w:t>
            </w:r>
          </w:p>
        </w:tc>
        <w:tc>
          <w:tcPr>
            <w:tcW w:type="dxa" w:w="1234"/>
          </w:tcPr>
          <w:p>
            <w:r>
              <w:rPr>
                <w:rFonts w:ascii="Calibri" w:hAnsi="Calibri"/>
                <w:sz w:val="22"/>
              </w:rPr>
              <w:t>$0.73–$0.77</w:t>
            </w:r>
          </w:p>
        </w:tc>
        <w:tc>
          <w:tcPr>
            <w:tcW w:type="dxa" w:w="1234"/>
          </w:tcPr>
          <w:p>
            <w:r>
              <w:rPr>
                <w:rFonts w:ascii="Calibri" w:hAnsi="Calibri"/>
                <w:sz w:val="22"/>
              </w:rPr>
              <w:t>+0.3% above midpoint ($0.75)</w:t>
            </w:r>
          </w:p>
        </w:tc>
      </w:tr>
      <w:tr>
        <w:tc>
          <w:tcPr>
            <w:tcW w:type="dxa" w:w="1234"/>
          </w:tcPr>
          <w:p>
            <w:r>
              <w:rPr>
                <w:rFonts w:ascii="Calibri" w:hAnsi="Calibri"/>
                <w:sz w:val="22"/>
              </w:rPr>
              <w:t>Optical Communications Revenue ($B)</w:t>
            </w:r>
          </w:p>
        </w:tc>
        <w:tc>
          <w:tcPr>
            <w:tcW w:type="dxa" w:w="1234"/>
          </w:tcPr>
          <w:p>
            <w:r>
              <w:rPr>
                <w:rFonts w:ascii="Calibri" w:hAnsi="Calibri"/>
                <w:sz w:val="22"/>
              </w:rPr>
              <w:t>$1.846B</w:t>
            </w:r>
          </w:p>
        </w:tc>
        <w:tc>
          <w:tcPr>
            <w:tcW w:type="dxa" w:w="1234"/>
          </w:tcPr>
          <w:p>
            <w:r>
              <w:rPr>
                <w:rFonts w:ascii="Calibri" w:hAnsi="Calibri"/>
                <w:sz w:val="22"/>
              </w:rPr>
              <w:t>$1.566B</w:t>
            </w:r>
          </w:p>
        </w:tc>
        <w:tc>
          <w:tcPr>
            <w:tcW w:type="dxa" w:w="1234"/>
          </w:tcPr>
          <w:p>
            <w:r>
              <w:rPr>
                <w:rFonts w:ascii="Calibri" w:hAnsi="Calibri"/>
                <w:sz w:val="22"/>
              </w:rPr>
              <w:t>$2.023B</w:t>
            </w:r>
          </w:p>
        </w:tc>
        <w:tc>
          <w:tcPr>
            <w:tcW w:type="dxa" w:w="1234"/>
          </w:tcPr>
          <w:p>
            <w:r>
              <w:rPr>
                <w:rFonts w:ascii="Calibri" w:hAnsi="Calibri"/>
                <w:sz w:val="22"/>
              </w:rPr>
              <w:t>+29.2%</w:t>
            </w:r>
          </w:p>
        </w:tc>
        <w:tc>
          <w:tcPr>
            <w:tcW w:type="dxa" w:w="1234"/>
          </w:tcPr>
          <w:p>
            <w:r>
              <w:rPr>
                <w:rFonts w:ascii="Calibri" w:hAnsi="Calibri"/>
                <w:sz w:val="22"/>
              </w:rPr>
              <w:t>No segment guidance provided</w:t>
            </w:r>
          </w:p>
        </w:tc>
        <w:tc>
          <w:tcPr>
            <w:tcW w:type="dxa" w:w="1234"/>
          </w:tcPr>
          <w:p>
            <w:r>
              <w:rPr>
                <w:rFonts w:ascii="Calibri" w:hAnsi="Calibri"/>
                <w:sz w:val="22"/>
              </w:rPr>
              <w:t>N/A</w:t>
            </w:r>
          </w:p>
        </w:tc>
      </w:tr>
      <w:tr>
        <w:tc>
          <w:tcPr>
            <w:tcW w:type="dxa" w:w="1234"/>
          </w:tcPr>
          <w:p>
            <w:r>
              <w:rPr>
                <w:rFonts w:ascii="Calibri" w:hAnsi="Calibri"/>
                <w:sz w:val="22"/>
              </w:rPr>
              <w:t>Glass Innovations Revenue ($B)</w:t>
            </w:r>
          </w:p>
        </w:tc>
        <w:tc>
          <w:tcPr>
            <w:tcW w:type="dxa" w:w="1234"/>
          </w:tcPr>
          <w:p>
            <w:r>
              <w:rPr>
                <w:rFonts w:ascii="Calibri" w:hAnsi="Calibri"/>
                <w:sz w:val="22"/>
              </w:rPr>
              <w:t>$1.420B</w:t>
            </w:r>
          </w:p>
        </w:tc>
        <w:tc>
          <w:tcPr>
            <w:tcW w:type="dxa" w:w="1234"/>
          </w:tcPr>
          <w:p>
            <w:r>
              <w:rPr>
                <w:rFonts w:ascii="Calibri" w:hAnsi="Calibri"/>
                <w:sz w:val="22"/>
              </w:rPr>
              <w:t>$1.443B</w:t>
            </w:r>
          </w:p>
        </w:tc>
        <w:tc>
          <w:tcPr>
            <w:tcW w:type="dxa" w:w="1234"/>
          </w:tcPr>
          <w:p>
            <w:r>
              <w:rPr>
                <w:rFonts w:ascii="Calibri" w:hAnsi="Calibri"/>
                <w:sz w:val="22"/>
              </w:rPr>
              <w:t>$1.477B</w:t>
            </w:r>
          </w:p>
        </w:tc>
        <w:tc>
          <w:tcPr>
            <w:tcW w:type="dxa" w:w="1234"/>
          </w:tcPr>
          <w:p>
            <w:r>
              <w:rPr>
                <w:rFonts w:ascii="Calibri" w:hAnsi="Calibri"/>
                <w:sz w:val="22"/>
              </w:rPr>
              <w:t>+2.4%</w:t>
            </w:r>
          </w:p>
        </w:tc>
        <w:tc>
          <w:tcPr>
            <w:tcW w:type="dxa" w:w="1234"/>
          </w:tcPr>
          <w:p>
            <w:r>
              <w:rPr>
                <w:rFonts w:ascii="Calibri" w:hAnsi="Calibri"/>
                <w:sz w:val="22"/>
              </w:rPr>
              <w:t>No segment guidance provided</w:t>
            </w:r>
          </w:p>
        </w:tc>
        <w:tc>
          <w:tcPr>
            <w:tcW w:type="dxa" w:w="1234"/>
          </w:tcPr>
          <w:p>
            <w:r>
              <w:rPr>
                <w:rFonts w:ascii="Calibri" w:hAnsi="Calibri"/>
                <w:sz w:val="22"/>
              </w:rPr>
              <w:t>N/A</w:t>
            </w:r>
          </w:p>
        </w:tc>
      </w:tr>
      <w:tr>
        <w:tc>
          <w:tcPr>
            <w:tcW w:type="dxa" w:w="1234"/>
          </w:tcPr>
          <w:p>
            <w:r>
              <w:rPr>
                <w:rFonts w:ascii="Calibri" w:hAnsi="Calibri"/>
                <w:sz w:val="22"/>
              </w:rPr>
              <w:t>Solar Revenue ($B)</w:t>
            </w:r>
          </w:p>
        </w:tc>
        <w:tc>
          <w:tcPr>
            <w:tcW w:type="dxa" w:w="1234"/>
          </w:tcPr>
          <w:p>
            <w:r>
              <w:rPr>
                <w:rFonts w:ascii="Calibri" w:hAnsi="Calibri"/>
                <w:sz w:val="22"/>
              </w:rPr>
              <w:t>$0.370B</w:t>
            </w:r>
          </w:p>
        </w:tc>
        <w:tc>
          <w:tcPr>
            <w:tcW w:type="dxa" w:w="1234"/>
          </w:tcPr>
          <w:p>
            <w:r>
              <w:rPr>
                <w:rFonts w:ascii="Calibri" w:hAnsi="Calibri"/>
                <w:sz w:val="22"/>
              </w:rPr>
              <w:t>$0.231B</w:t>
            </w:r>
          </w:p>
        </w:tc>
        <w:tc>
          <w:tcPr>
            <w:tcW w:type="dxa" w:w="1234"/>
          </w:tcPr>
          <w:p>
            <w:r>
              <w:rPr>
                <w:rFonts w:ascii="Calibri" w:hAnsi="Calibri"/>
                <w:sz w:val="22"/>
              </w:rPr>
              <w:t>$0.388B</w:t>
            </w:r>
          </w:p>
        </w:tc>
        <w:tc>
          <w:tcPr>
            <w:tcW w:type="dxa" w:w="1234"/>
          </w:tcPr>
          <w:p>
            <w:r>
              <w:rPr>
                <w:rFonts w:ascii="Calibri" w:hAnsi="Calibri"/>
                <w:sz w:val="22"/>
              </w:rPr>
              <w:t>+67.9%</w:t>
            </w:r>
          </w:p>
        </w:tc>
        <w:tc>
          <w:tcPr>
            <w:tcW w:type="dxa" w:w="1234"/>
          </w:tcPr>
          <w:p>
            <w:r>
              <w:rPr>
                <w:rFonts w:ascii="Calibri" w:hAnsi="Calibri"/>
                <w:sz w:val="22"/>
              </w:rPr>
              <w:t>No segment guidance provided</w:t>
            </w:r>
          </w:p>
        </w:tc>
        <w:tc>
          <w:tcPr>
            <w:tcW w:type="dxa" w:w="1234"/>
          </w:tcPr>
          <w:p>
            <w:r>
              <w:rPr>
                <w:rFonts w:ascii="Calibri" w:hAnsi="Calibri"/>
                <w:sz w:val="22"/>
              </w:rPr>
              <w:t>N/A</w:t>
            </w:r>
          </w:p>
        </w:tc>
      </w:tr>
      <w:tr>
        <w:tc>
          <w:tcPr>
            <w:tcW w:type="dxa" w:w="1234"/>
          </w:tcPr>
          <w:p>
            <w:r>
              <w:rPr>
                <w:rFonts w:ascii="Calibri" w:hAnsi="Calibri"/>
                <w:sz w:val="22"/>
              </w:rPr>
              <w:t>Automotive Revenue ($B)</w:t>
            </w:r>
          </w:p>
        </w:tc>
        <w:tc>
          <w:tcPr>
            <w:tcW w:type="dxa" w:w="1234"/>
          </w:tcPr>
          <w:p>
            <w:r>
              <w:rPr>
                <w:rFonts w:ascii="Calibri" w:hAnsi="Calibri"/>
                <w:sz w:val="22"/>
              </w:rPr>
              <w:t>$0.437B</w:t>
            </w:r>
          </w:p>
        </w:tc>
        <w:tc>
          <w:tcPr>
            <w:tcW w:type="dxa" w:w="1234"/>
          </w:tcPr>
          <w:p>
            <w:r>
              <w:rPr>
                <w:rFonts w:ascii="Calibri" w:hAnsi="Calibri"/>
                <w:sz w:val="22"/>
              </w:rPr>
              <w:t>$0.460B</w:t>
            </w:r>
          </w:p>
        </w:tc>
        <w:tc>
          <w:tcPr>
            <w:tcW w:type="dxa" w:w="1234"/>
          </w:tcPr>
          <w:p>
            <w:r>
              <w:rPr>
                <w:rFonts w:ascii="Calibri" w:hAnsi="Calibri"/>
                <w:sz w:val="22"/>
              </w:rPr>
              <w:t>$0.463B</w:t>
            </w:r>
          </w:p>
        </w:tc>
        <w:tc>
          <w:tcPr>
            <w:tcW w:type="dxa" w:w="1234"/>
          </w:tcPr>
          <w:p>
            <w:r>
              <w:rPr>
                <w:rFonts w:ascii="Calibri" w:hAnsi="Calibri"/>
                <w:sz w:val="22"/>
              </w:rPr>
              <w:t>+0.7%</w:t>
            </w:r>
          </w:p>
        </w:tc>
        <w:tc>
          <w:tcPr>
            <w:tcW w:type="dxa" w:w="1234"/>
          </w:tcPr>
          <w:p>
            <w:r>
              <w:rPr>
                <w:rFonts w:ascii="Calibri" w:hAnsi="Calibri"/>
                <w:sz w:val="22"/>
              </w:rPr>
              <w:t>No segment guidance provided</w:t>
            </w:r>
          </w:p>
        </w:tc>
        <w:tc>
          <w:tcPr>
            <w:tcW w:type="dxa" w:w="1234"/>
          </w:tcPr>
          <w:p>
            <w:r>
              <w:rPr>
                <w:rFonts w:ascii="Calibri" w:hAnsi="Calibri"/>
                <w:sz w:val="22"/>
              </w:rPr>
              <w:t>N/A</w:t>
            </w:r>
          </w:p>
        </w:tc>
      </w:tr>
      <w:tr>
        <w:tc>
          <w:tcPr>
            <w:tcW w:type="dxa" w:w="1234"/>
          </w:tcPr>
          <w:p>
            <w:r>
              <w:rPr>
                <w:rFonts w:ascii="Calibri" w:hAnsi="Calibri"/>
                <w:sz w:val="22"/>
              </w:rPr>
              <w:t>Operating Income – Operating ($B)</w:t>
            </w:r>
          </w:p>
        </w:tc>
        <w:tc>
          <w:tcPr>
            <w:tcW w:type="dxa" w:w="1234"/>
          </w:tcPr>
          <w:p>
            <w:r>
              <w:rPr>
                <w:rFonts w:ascii="Calibri" w:hAnsi="Calibri"/>
                <w:sz w:val="22"/>
              </w:rPr>
              <w:t>$0.876B</w:t>
            </w:r>
          </w:p>
        </w:tc>
        <w:tc>
          <w:tcPr>
            <w:tcW w:type="dxa" w:w="1234"/>
          </w:tcPr>
          <w:p>
            <w:r>
              <w:rPr>
                <w:rFonts w:ascii="Calibri" w:hAnsi="Calibri"/>
                <w:sz w:val="22"/>
              </w:rPr>
              <w:t>$0.770B</w:t>
            </w:r>
          </w:p>
        </w:tc>
        <w:tc>
          <w:tcPr>
            <w:tcW w:type="dxa" w:w="1234"/>
          </w:tcPr>
          <w:p>
            <w:r>
              <w:rPr>
                <w:rFonts w:ascii="Calibri" w:hAnsi="Calibri"/>
                <w:sz w:val="22"/>
              </w:rPr>
              <w:t>$0.964B</w:t>
            </w:r>
          </w:p>
        </w:tc>
        <w:tc>
          <w:tcPr>
            <w:tcW w:type="dxa" w:w="1234"/>
          </w:tcPr>
          <w:p>
            <w:r>
              <w:rPr>
                <w:rFonts w:ascii="Calibri" w:hAnsi="Calibri"/>
                <w:sz w:val="22"/>
              </w:rPr>
              <w:t>+25.1%</w:t>
            </w:r>
          </w:p>
        </w:tc>
        <w:tc>
          <w:tcPr>
            <w:tcW w:type="dxa" w:w="1234"/>
          </w:tcPr>
          <w:p>
            <w:r>
              <w:rPr>
                <w:rFonts w:ascii="Calibri" w:hAnsi="Calibri"/>
                <w:sz w:val="22"/>
              </w:rPr>
              <w:t>No direct guidance</w:t>
            </w:r>
          </w:p>
        </w:tc>
        <w:tc>
          <w:tcPr>
            <w:tcW w:type="dxa" w:w="1234"/>
          </w:tcPr>
          <w:p>
            <w:r>
              <w:rPr>
                <w:rFonts w:ascii="Calibri" w:hAnsi="Calibri"/>
                <w:sz w:val="22"/>
              </w:rPr>
              <w:t>N/A</w:t>
            </w:r>
          </w:p>
        </w:tc>
      </w:tr>
      <w:tr>
        <w:tc>
          <w:tcPr>
            <w:tcW w:type="dxa" w:w="1234"/>
          </w:tcPr>
          <w:p>
            <w:r>
              <w:rPr>
                <w:rFonts w:ascii="Calibri" w:hAnsi="Calibri"/>
                <w:sz w:val="22"/>
              </w:rPr>
              <w:t>Gross Profit – Operating ($B)</w:t>
            </w:r>
          </w:p>
        </w:tc>
        <w:tc>
          <w:tcPr>
            <w:tcW w:type="dxa" w:w="1234"/>
          </w:tcPr>
          <w:p>
            <w:r>
              <w:rPr>
                <w:rFonts w:ascii="Calibri" w:hAnsi="Calibri"/>
                <w:sz w:val="22"/>
              </w:rPr>
              <w:t>$1.700B</w:t>
            </w:r>
          </w:p>
        </w:tc>
        <w:tc>
          <w:tcPr>
            <w:tcW w:type="dxa" w:w="1234"/>
          </w:tcPr>
          <w:p>
            <w:r>
              <w:rPr>
                <w:rFonts w:ascii="Calibri" w:hAnsi="Calibri"/>
                <w:sz w:val="22"/>
              </w:rPr>
              <w:t>$1.552B</w:t>
            </w:r>
          </w:p>
        </w:tc>
        <w:tc>
          <w:tcPr>
            <w:tcW w:type="dxa" w:w="1234"/>
          </w:tcPr>
          <w:p>
            <w:r>
              <w:rPr>
                <w:rFonts w:ascii="Calibri" w:hAnsi="Calibri"/>
                <w:sz w:val="22"/>
              </w:rPr>
              <w:t>$1.797B</w:t>
            </w:r>
          </w:p>
        </w:tc>
        <w:tc>
          <w:tcPr>
            <w:tcW w:type="dxa" w:w="1234"/>
          </w:tcPr>
          <w:p>
            <w:r>
              <w:rPr>
                <w:rFonts w:ascii="Calibri" w:hAnsi="Calibri"/>
                <w:sz w:val="22"/>
              </w:rPr>
              <w:t>+15.8%</w:t>
            </w:r>
          </w:p>
        </w:tc>
        <w:tc>
          <w:tcPr>
            <w:tcW w:type="dxa" w:w="1234"/>
          </w:tcPr>
          <w:p>
            <w:r>
              <w:rPr>
                <w:rFonts w:ascii="Calibri" w:hAnsi="Calibri"/>
                <w:sz w:val="22"/>
              </w:rPr>
              <w:t>No direct guidance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$0.030B</w:t>
            </w:r>
          </w:p>
        </w:tc>
        <w:tc>
          <w:tcPr>
            <w:tcW w:type="dxa" w:w="1234"/>
          </w:tcPr>
          <w:p>
            <w:r>
              <w:rPr>
                <w:rFonts w:ascii="Calibri" w:hAnsi="Calibri"/>
                <w:sz w:val="22"/>
              </w:rPr>
              <w:t>$0.400B</w:t>
            </w:r>
          </w:p>
        </w:tc>
        <w:tc>
          <w:tcPr>
            <w:tcW w:type="dxa" w:w="1234"/>
          </w:tcPr>
          <w:p>
            <w:r>
              <w:rPr>
                <w:rFonts w:ascii="Calibri" w:hAnsi="Calibri"/>
                <w:sz w:val="22"/>
              </w:rPr>
              <w:t>$0.493B</w:t>
            </w:r>
          </w:p>
        </w:tc>
        <w:tc>
          <w:tcPr>
            <w:tcW w:type="dxa" w:w="1234"/>
          </w:tcPr>
          <w:p>
            <w:r>
              <w:rPr>
                <w:rFonts w:ascii="Calibri" w:hAnsi="Calibri"/>
                <w:sz w:val="22"/>
              </w:rPr>
              <w:t>+23.4%</w:t>
            </w:r>
          </w:p>
        </w:tc>
        <w:tc>
          <w:tcPr>
            <w:tcW w:type="dxa" w:w="1234"/>
          </w:tcPr>
          <w:p>
            <w:r>
              <w:rPr>
                <w:rFonts w:ascii="Calibri" w:hAnsi="Calibri"/>
                <w:sz w:val="22"/>
              </w:rPr>
              <w:t>No direct guidance</w:t>
            </w:r>
          </w:p>
        </w:tc>
        <w:tc>
          <w:tcPr>
            <w:tcW w:type="dxa" w:w="1234"/>
          </w:tcPr>
          <w:p>
            <w:r>
              <w:rPr>
                <w:rFonts w:ascii="Calibri" w:hAnsi="Calibri"/>
                <w:sz w:val="22"/>
              </w:rPr>
              <w:t>N/A</w:t>
            </w:r>
          </w:p>
        </w:tc>
      </w:tr>
    </w:tbl>
    <w:p>
      <w:r>
        <w:rPr>
          <w:rFonts w:ascii="Calibri" w:hAnsi="Calibri"/>
          <w:color w:val="525866"/>
          <w:sz w:val="22"/>
        </w:rPr>
        <w:t>Source: Visible Alpha Consensus and Actuals Data. Q2 2026 guidance from Q1 2026 earnings call (April 28, 2026). Net Sales consensus $4.478B vs. guidance midpoint ~$4.6B implies consensus is tracking ~2.7% below the guided level, consistent with typical Street conservatism. Core EPS consensus $0.762 sits just above the $0.75 guidance midpoint.</w:t>
      </w:r>
    </w:p>
    <w:p>
      <w:pPr>
        <w:pStyle w:val="Heading3"/>
      </w:pPr>
      <w:r>
        <w:rPr>
          <w:rFonts w:ascii="Calibri" w:hAnsi="Calibri"/>
          <w:b/>
          <w:color w:val="3B4259"/>
          <w:sz w:val="24"/>
        </w:rPr>
        <w:t>Table 2 — Beat/Miss History: Last 8 Quarters (Top 2 KPIs: Net Sales &amp; Core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$4.144B</w:t>
            </w:r>
          </w:p>
        </w:tc>
        <w:tc>
          <w:tcPr>
            <w:tcW w:type="dxa" w:w="1440"/>
          </w:tcPr>
          <w:p>
            <w:r>
              <w:rPr>
                <w:rFonts w:ascii="Calibri" w:hAnsi="Calibri"/>
                <w:sz w:val="22"/>
              </w:rPr>
              <w:t>$4.154B</w:t>
            </w:r>
          </w:p>
        </w:tc>
        <w:tc>
          <w:tcPr>
            <w:tcW w:type="dxa" w:w="1440"/>
          </w:tcPr>
          <w:p>
            <w:r>
              <w:rPr>
                <w:rFonts w:ascii="Calibri" w:hAnsi="Calibri"/>
                <w:sz w:val="22"/>
              </w:rPr>
              <w:t>-0.2%</w:t>
            </w:r>
          </w:p>
        </w:tc>
        <w:tc>
          <w:tcPr>
            <w:tcW w:type="dxa" w:w="1440"/>
          </w:tcPr>
          <w:p>
            <w:r>
              <w:rPr>
                <w:rFonts w:ascii="Calibri" w:hAnsi="Calibri"/>
                <w:b/>
                <w:color w:val="002FA7"/>
                <w:sz w:val="22"/>
              </w:rPr>
              <w:t>In-Line</w:t>
            </w:r>
          </w:p>
        </w:tc>
      </w:tr>
      <w:tr>
        <w:tc>
          <w:tcPr>
            <w:tcW w:type="dxa" w:w="1440"/>
          </w:tcPr>
          <w:p>
            <w:r>
              <w:rPr>
                <w:rFonts w:ascii="Calibri" w:hAnsi="Calibri"/>
                <w:sz w:val="22"/>
              </w:rPr>
              <w:t>Q1 2026</w:t>
            </w:r>
          </w:p>
        </w:tc>
        <w:tc>
          <w:tcPr>
            <w:tcW w:type="dxa" w:w="1440"/>
          </w:tcPr>
          <w:p>
            <w:r>
              <w:rPr>
                <w:rFonts w:ascii="Calibri" w:hAnsi="Calibri"/>
                <w:sz w:val="22"/>
              </w:rPr>
              <w:t>Core EPS</w:t>
            </w:r>
          </w:p>
        </w:tc>
        <w:tc>
          <w:tcPr>
            <w:tcW w:type="dxa" w:w="1440"/>
          </w:tcPr>
          <w:p>
            <w:r>
              <w:rPr>
                <w:rFonts w:ascii="Calibri" w:hAnsi="Calibri"/>
                <w:sz w:val="22"/>
              </w:rPr>
              <w:t>$0.70</w:t>
            </w:r>
          </w:p>
        </w:tc>
        <w:tc>
          <w:tcPr>
            <w:tcW w:type="dxa" w:w="1440"/>
          </w:tcPr>
          <w:p>
            <w:r>
              <w:rPr>
                <w:rFonts w:ascii="Calibri" w:hAnsi="Calibri"/>
                <w:sz w:val="22"/>
              </w:rPr>
              <w:t>$0.697</w:t>
            </w:r>
          </w:p>
        </w:tc>
        <w:tc>
          <w:tcPr>
            <w:tcW w:type="dxa" w:w="1440"/>
          </w:tcPr>
          <w:p>
            <w:r>
              <w:rPr>
                <w:rFonts w:ascii="Calibri" w:hAnsi="Calibri"/>
                <w:sz w:val="22"/>
              </w:rPr>
              <w:t>+0.4%</w:t>
            </w:r>
          </w:p>
        </w:tc>
        <w:tc>
          <w:tcPr>
            <w:tcW w:type="dxa" w:w="1440"/>
          </w:tcPr>
          <w:p>
            <w:r>
              <w:rPr>
                <w:rFonts w:ascii="Calibri" w:hAnsi="Calibri"/>
                <w:b/>
                <w:color w:val="002FA7"/>
                <w:sz w:val="22"/>
              </w:rPr>
              <w:t>In-Line</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$4.215B</w:t>
            </w:r>
          </w:p>
        </w:tc>
        <w:tc>
          <w:tcPr>
            <w:tcW w:type="dxa" w:w="1440"/>
          </w:tcPr>
          <w:p>
            <w:r>
              <w:rPr>
                <w:rFonts w:ascii="Calibri" w:hAnsi="Calibri"/>
                <w:sz w:val="22"/>
              </w:rPr>
              <w:t>$4.246B</w:t>
            </w:r>
          </w:p>
        </w:tc>
        <w:tc>
          <w:tcPr>
            <w:tcW w:type="dxa" w:w="1440"/>
          </w:tcPr>
          <w:p>
            <w:r>
              <w:rPr>
                <w:rFonts w:ascii="Calibri" w:hAnsi="Calibri"/>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Core EPS</w:t>
            </w:r>
          </w:p>
        </w:tc>
        <w:tc>
          <w:tcPr>
            <w:tcW w:type="dxa" w:w="1440"/>
          </w:tcPr>
          <w:p>
            <w:r>
              <w:rPr>
                <w:rFonts w:ascii="Calibri" w:hAnsi="Calibri"/>
                <w:sz w:val="22"/>
              </w:rPr>
              <w:t>$0.72</w:t>
            </w:r>
          </w:p>
        </w:tc>
        <w:tc>
          <w:tcPr>
            <w:tcW w:type="dxa" w:w="1440"/>
          </w:tcPr>
          <w:p>
            <w:r>
              <w:rPr>
                <w:rFonts w:ascii="Calibri" w:hAnsi="Calibri"/>
                <w:sz w:val="22"/>
              </w:rPr>
              <w:t>$0.706</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$4.100B</w:t>
            </w:r>
          </w:p>
        </w:tc>
        <w:tc>
          <w:tcPr>
            <w:tcW w:type="dxa" w:w="1440"/>
          </w:tcPr>
          <w:p>
            <w:r>
              <w:rPr>
                <w:rFonts w:ascii="Calibri" w:hAnsi="Calibri"/>
                <w:sz w:val="22"/>
              </w:rPr>
              <w:t>$4.111B</w:t>
            </w:r>
          </w:p>
        </w:tc>
        <w:tc>
          <w:tcPr>
            <w:tcW w:type="dxa" w:w="1440"/>
          </w:tcPr>
          <w:p>
            <w:r>
              <w:rPr>
                <w:rFonts w:ascii="Calibri" w:hAnsi="Calibri"/>
                <w:sz w:val="22"/>
              </w:rPr>
              <w:t>-0.3%</w:t>
            </w:r>
          </w:p>
        </w:tc>
        <w:tc>
          <w:tcPr>
            <w:tcW w:type="dxa" w:w="1440"/>
          </w:tcPr>
          <w:p>
            <w:r>
              <w:rPr>
                <w:rFonts w:ascii="Calibri" w:hAnsi="Calibri"/>
                <w:b/>
                <w:color w:val="002FA7"/>
                <w:sz w:val="22"/>
              </w:rPr>
              <w:t>In-Line</w:t>
            </w:r>
          </w:p>
        </w:tc>
      </w:tr>
      <w:tr>
        <w:tc>
          <w:tcPr>
            <w:tcW w:type="dxa" w:w="1440"/>
          </w:tcPr>
          <w:p>
            <w:r>
              <w:rPr>
                <w:rFonts w:ascii="Calibri" w:hAnsi="Calibri"/>
                <w:sz w:val="22"/>
              </w:rPr>
              <w:t>Q3 2025</w:t>
            </w:r>
          </w:p>
        </w:tc>
        <w:tc>
          <w:tcPr>
            <w:tcW w:type="dxa" w:w="1440"/>
          </w:tcPr>
          <w:p>
            <w:r>
              <w:rPr>
                <w:rFonts w:ascii="Calibri" w:hAnsi="Calibri"/>
                <w:sz w:val="22"/>
              </w:rPr>
              <w:t>Core EPS</w:t>
            </w:r>
          </w:p>
        </w:tc>
        <w:tc>
          <w:tcPr>
            <w:tcW w:type="dxa" w:w="1440"/>
          </w:tcPr>
          <w:p>
            <w:r>
              <w:rPr>
                <w:rFonts w:ascii="Calibri" w:hAnsi="Calibri"/>
                <w:sz w:val="22"/>
              </w:rPr>
              <w:t>$0.67</w:t>
            </w:r>
          </w:p>
        </w:tc>
        <w:tc>
          <w:tcPr>
            <w:tcW w:type="dxa" w:w="1440"/>
          </w:tcPr>
          <w:p>
            <w:r>
              <w:rPr>
                <w:rFonts w:ascii="Calibri" w:hAnsi="Calibri"/>
                <w:sz w:val="22"/>
              </w:rPr>
              <w:t>$0.665</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$3.862B</w:t>
            </w:r>
          </w:p>
        </w:tc>
        <w:tc>
          <w:tcPr>
            <w:tcW w:type="dxa" w:w="1440"/>
          </w:tcPr>
          <w:p>
            <w:r>
              <w:rPr>
                <w:rFonts w:ascii="Calibri" w:hAnsi="Calibri"/>
                <w:sz w:val="22"/>
              </w:rPr>
              <w:t>$3.719B</w:t>
            </w:r>
          </w:p>
        </w:tc>
        <w:tc>
          <w:tcPr>
            <w:tcW w:type="dxa" w:w="1440"/>
          </w:tcPr>
          <w:p>
            <w:r>
              <w:rPr>
                <w:rFonts w:ascii="Calibri" w:hAnsi="Calibri"/>
                <w:sz w:val="22"/>
              </w:rPr>
              <w:t>+3.8%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Core EPS</w:t>
            </w:r>
          </w:p>
        </w:tc>
        <w:tc>
          <w:tcPr>
            <w:tcW w:type="dxa" w:w="1440"/>
          </w:tcPr>
          <w:p>
            <w:r>
              <w:rPr>
                <w:rFonts w:ascii="Calibri" w:hAnsi="Calibri"/>
                <w:sz w:val="22"/>
              </w:rPr>
              <w:t>$0.60</w:t>
            </w:r>
          </w:p>
        </w:tc>
        <w:tc>
          <w:tcPr>
            <w:tcW w:type="dxa" w:w="1440"/>
          </w:tcPr>
          <w:p>
            <w:r>
              <w:rPr>
                <w:rFonts w:ascii="Calibri" w:hAnsi="Calibri"/>
                <w:sz w:val="22"/>
              </w:rPr>
              <w:t>$0.573</w:t>
            </w:r>
          </w:p>
        </w:tc>
        <w:tc>
          <w:tcPr>
            <w:tcW w:type="dxa" w:w="1440"/>
          </w:tcPr>
          <w:p>
            <w:r>
              <w:rPr>
                <w:rFonts w:ascii="Calibri" w:hAnsi="Calibri"/>
                <w:sz w:val="22"/>
              </w:rPr>
              <w:t>+4.7%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$3.452B</w:t>
            </w:r>
          </w:p>
        </w:tc>
        <w:tc>
          <w:tcPr>
            <w:tcW w:type="dxa" w:w="1440"/>
          </w:tcPr>
          <w:p>
            <w:r>
              <w:rPr>
                <w:rFonts w:ascii="Calibri" w:hAnsi="Calibri"/>
                <w:sz w:val="22"/>
              </w:rPr>
              <w:t>$3.478B</w:t>
            </w:r>
          </w:p>
        </w:tc>
        <w:tc>
          <w:tcPr>
            <w:tcW w:type="dxa" w:w="1440"/>
          </w:tcPr>
          <w:p>
            <w:r>
              <w:rPr>
                <w:rFonts w:ascii="Calibri" w:hAnsi="Calibri"/>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Core EPS</w:t>
            </w:r>
          </w:p>
        </w:tc>
        <w:tc>
          <w:tcPr>
            <w:tcW w:type="dxa" w:w="1440"/>
          </w:tcPr>
          <w:p>
            <w:r>
              <w:rPr>
                <w:rFonts w:ascii="Calibri" w:hAnsi="Calibri"/>
                <w:sz w:val="22"/>
              </w:rPr>
              <w:t>$0.54</w:t>
            </w:r>
          </w:p>
        </w:tc>
        <w:tc>
          <w:tcPr>
            <w:tcW w:type="dxa" w:w="1440"/>
          </w:tcPr>
          <w:p>
            <w:r>
              <w:rPr>
                <w:rFonts w:ascii="Calibri" w:hAnsi="Calibri"/>
                <w:sz w:val="22"/>
              </w:rPr>
              <w:t>$0.511</w:t>
            </w:r>
          </w:p>
        </w:tc>
        <w:tc>
          <w:tcPr>
            <w:tcW w:type="dxa" w:w="1440"/>
          </w:tcPr>
          <w:p>
            <w:r>
              <w:rPr>
                <w:rFonts w:ascii="Calibri" w:hAnsi="Calibri"/>
                <w:sz w:val="22"/>
              </w:rPr>
              <w:t>+5.7%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$3.501B</w:t>
            </w:r>
          </w:p>
        </w:tc>
        <w:tc>
          <w:tcPr>
            <w:tcW w:type="dxa" w:w="1440"/>
          </w:tcPr>
          <w:p>
            <w:r>
              <w:rPr>
                <w:rFonts w:ascii="Calibri" w:hAnsi="Calibri"/>
                <w:sz w:val="22"/>
              </w:rPr>
              <w:t>$3.499B</w:t>
            </w:r>
          </w:p>
        </w:tc>
        <w:tc>
          <w:tcPr>
            <w:tcW w:type="dxa" w:w="1440"/>
          </w:tcPr>
          <w:p>
            <w:r>
              <w:rPr>
                <w:rFonts w:ascii="Calibri" w:hAnsi="Calibri"/>
                <w:sz w:val="22"/>
              </w:rPr>
              <w:t>+0.1%</w:t>
            </w:r>
          </w:p>
        </w:tc>
        <w:tc>
          <w:tcPr>
            <w:tcW w:type="dxa" w:w="1440"/>
          </w:tcPr>
          <w:p>
            <w:r>
              <w:rPr>
                <w:rFonts w:ascii="Calibri" w:hAnsi="Calibri"/>
                <w:b/>
                <w:color w:val="002FA7"/>
                <w:sz w:val="22"/>
              </w:rPr>
              <w:t>In-Line</w:t>
            </w:r>
          </w:p>
        </w:tc>
      </w:tr>
      <w:tr>
        <w:tc>
          <w:tcPr>
            <w:tcW w:type="dxa" w:w="1440"/>
          </w:tcPr>
          <w:p>
            <w:r>
              <w:rPr>
                <w:rFonts w:ascii="Calibri" w:hAnsi="Calibri"/>
                <w:sz w:val="22"/>
              </w:rPr>
              <w:t>Q4 2024</w:t>
            </w:r>
          </w:p>
        </w:tc>
        <w:tc>
          <w:tcPr>
            <w:tcW w:type="dxa" w:w="1440"/>
          </w:tcPr>
          <w:p>
            <w:r>
              <w:rPr>
                <w:rFonts w:ascii="Calibri" w:hAnsi="Calibri"/>
                <w:sz w:val="22"/>
              </w:rPr>
              <w:t>Core EPS</w:t>
            </w:r>
          </w:p>
        </w:tc>
        <w:tc>
          <w:tcPr>
            <w:tcW w:type="dxa" w:w="1440"/>
          </w:tcPr>
          <w:p>
            <w:r>
              <w:rPr>
                <w:rFonts w:ascii="Calibri" w:hAnsi="Calibri"/>
                <w:sz w:val="22"/>
              </w:rPr>
              <w:t>$0.57</w:t>
            </w:r>
          </w:p>
        </w:tc>
        <w:tc>
          <w:tcPr>
            <w:tcW w:type="dxa" w:w="1440"/>
          </w:tcPr>
          <w:p>
            <w:r>
              <w:rPr>
                <w:rFonts w:ascii="Calibri" w:hAnsi="Calibri"/>
                <w:sz w:val="22"/>
              </w:rPr>
              <w:t>$0.558</w:t>
            </w:r>
          </w:p>
        </w:tc>
        <w:tc>
          <w:tcPr>
            <w:tcW w:type="dxa" w:w="1440"/>
          </w:tcPr>
          <w:p>
            <w:r>
              <w:rPr>
                <w:rFonts w:ascii="Calibri" w:hAnsi="Calibri"/>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$3.391B</w:t>
            </w:r>
          </w:p>
        </w:tc>
        <w:tc>
          <w:tcPr>
            <w:tcW w:type="dxa" w:w="1440"/>
          </w:tcPr>
          <w:p>
            <w:r>
              <w:rPr>
                <w:rFonts w:ascii="Calibri" w:hAnsi="Calibri"/>
                <w:sz w:val="22"/>
              </w:rPr>
              <w:t>$3.477B</w:t>
            </w:r>
          </w:p>
        </w:tc>
        <w:tc>
          <w:tcPr>
            <w:tcW w:type="dxa" w:w="1440"/>
          </w:tcPr>
          <w:p>
            <w:r>
              <w:rPr>
                <w:rFonts w:ascii="Calibri" w:hAnsi="Calibri"/>
                <w:sz w:val="22"/>
              </w:rPr>
              <w:t>-2.5%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Core EPS</w:t>
            </w:r>
          </w:p>
        </w:tc>
        <w:tc>
          <w:tcPr>
            <w:tcW w:type="dxa" w:w="1440"/>
          </w:tcPr>
          <w:p>
            <w:r>
              <w:rPr>
                <w:rFonts w:ascii="Calibri" w:hAnsi="Calibri"/>
                <w:sz w:val="22"/>
              </w:rPr>
              <w:t>$0.54</w:t>
            </w:r>
          </w:p>
        </w:tc>
        <w:tc>
          <w:tcPr>
            <w:tcW w:type="dxa" w:w="1440"/>
          </w:tcPr>
          <w:p>
            <w:r>
              <w:rPr>
                <w:rFonts w:ascii="Calibri" w:hAnsi="Calibri"/>
                <w:sz w:val="22"/>
              </w:rPr>
              <w:t>$0.523</w:t>
            </w:r>
          </w:p>
        </w:tc>
        <w:tc>
          <w:tcPr>
            <w:tcW w:type="dxa" w:w="1440"/>
          </w:tcPr>
          <w:p>
            <w:r>
              <w:rPr>
                <w:rFonts w:ascii="Calibri" w:hAnsi="Calibri"/>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$3.251B</w:t>
            </w:r>
          </w:p>
        </w:tc>
        <w:tc>
          <w:tcPr>
            <w:tcW w:type="dxa" w:w="1440"/>
          </w:tcPr>
          <w:p>
            <w:r>
              <w:rPr>
                <w:rFonts w:ascii="Calibri" w:hAnsi="Calibri"/>
                <w:sz w:val="22"/>
              </w:rPr>
              <w:t>$3.302B</w:t>
            </w:r>
          </w:p>
        </w:tc>
        <w:tc>
          <w:tcPr>
            <w:tcW w:type="dxa" w:w="1440"/>
          </w:tcPr>
          <w:p>
            <w:r>
              <w:rPr>
                <w:rFonts w:ascii="Calibri" w:hAnsi="Calibri"/>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Core EPS</w:t>
            </w:r>
          </w:p>
        </w:tc>
        <w:tc>
          <w:tcPr>
            <w:tcW w:type="dxa" w:w="1440"/>
          </w:tcPr>
          <w:p>
            <w:r>
              <w:rPr>
                <w:rFonts w:ascii="Calibri" w:hAnsi="Calibri"/>
                <w:sz w:val="22"/>
              </w:rPr>
              <w:t>$0.47</w:t>
            </w:r>
          </w:p>
        </w:tc>
        <w:tc>
          <w:tcPr>
            <w:tcW w:type="dxa" w:w="1440"/>
          </w:tcPr>
          <w:p>
            <w:r>
              <w:rPr>
                <w:rFonts w:ascii="Calibri" w:hAnsi="Calibri"/>
                <w:sz w:val="22"/>
              </w:rPr>
              <w:t>$0.465</w:t>
            </w:r>
          </w:p>
        </w:tc>
        <w:tc>
          <w:tcPr>
            <w:tcW w:type="dxa" w:w="1440"/>
          </w:tcPr>
          <w:p>
            <w:r>
              <w:rPr>
                <w:rFonts w:ascii="Calibri" w:hAnsi="Calibri"/>
                <w:sz w:val="22"/>
              </w:rPr>
              <w:t>+1.1%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Core EPS has beaten consensus in 7 of the last 8 quarters, typically by 1–6%; the one miss was Q1 2025 on revenue only. Net Sales has been more mixed — 4 beats, 4 misses/in-lines — suggesting the Street has gotten better at calibrating the revenue bar. The consistent EPS beat pattern reflects Corning's ability to manage costs and mix even when top-line comes in at or slightly below consensus.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materially more bullish since the Q1 print — the May 6 Investor Day delivered a major Springboard upgrade and the June 8 Amazon deal added a fourth hyperscale agreement — but the Q2 guidance itself has not been formally revised upward, leaving the solar wafer drag as the key near-term overhang.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~$4.6B (+14% YoY)</w:t>
            </w:r>
          </w:p>
        </w:tc>
        <w:tc>
          <w:tcPr>
            <w:tcW w:type="dxa" w:w="1728"/>
          </w:tcPr>
          <w:p>
            <w:r>
              <w:rPr>
                <w:rFonts w:ascii="Calibri" w:hAnsi="Calibri"/>
                <w:sz w:val="22"/>
              </w:rPr>
              <w:t>—</w:t>
            </w:r>
          </w:p>
        </w:tc>
        <w:tc>
          <w:tcPr>
            <w:tcW w:type="dxa" w:w="1728"/>
          </w:tcPr>
          <w:p>
            <w:r>
              <w:rPr>
                <w:rFonts w:ascii="Calibri" w:hAnsi="Calibri"/>
                <w:sz w:val="22"/>
              </w:rPr>
              <w:t>$4.478B</w:t>
            </w:r>
          </w:p>
        </w:tc>
        <w:tc>
          <w:tcPr>
            <w:tcW w:type="dxa" w:w="1728"/>
          </w:tcPr>
          <w:p>
            <w:r>
              <w:rPr>
                <w:rFonts w:ascii="Calibri" w:hAnsi="Calibri"/>
                <w:sz w:val="22"/>
              </w:rPr>
              <w:t>No formal revision; consensus tracking ~2.7% below guidance midpoint. Tone reinforced at May 6 Investor Day.</w:t>
            </w:r>
          </w:p>
        </w:tc>
      </w:tr>
      <w:tr>
        <w:tc>
          <w:tcPr>
            <w:tcW w:type="dxa" w:w="1728"/>
          </w:tcPr>
          <w:p>
            <w:r>
              <w:rPr>
                <w:rFonts w:ascii="Calibri" w:hAnsi="Calibri"/>
                <w:sz w:val="22"/>
              </w:rPr>
              <w:t>Q2 2026 Core EPS</w:t>
            </w:r>
          </w:p>
        </w:tc>
        <w:tc>
          <w:tcPr>
            <w:tcW w:type="dxa" w:w="1728"/>
          </w:tcPr>
          <w:p>
            <w:r>
              <w:rPr>
                <w:rFonts w:ascii="Calibri" w:hAnsi="Calibri"/>
                <w:sz w:val="22"/>
              </w:rPr>
              <w:t>$0.73–$0.77 (+25% YoY)</w:t>
            </w:r>
          </w:p>
        </w:tc>
        <w:tc>
          <w:tcPr>
            <w:tcW w:type="dxa" w:w="1728"/>
          </w:tcPr>
          <w:p>
            <w:r>
              <w:rPr>
                <w:rFonts w:ascii="Calibri" w:hAnsi="Calibri"/>
                <w:sz w:val="22"/>
              </w:rPr>
              <w:t>—</w:t>
            </w:r>
          </w:p>
        </w:tc>
        <w:tc>
          <w:tcPr>
            <w:tcW w:type="dxa" w:w="1728"/>
          </w:tcPr>
          <w:p>
            <w:r>
              <w:rPr>
                <w:rFonts w:ascii="Calibri" w:hAnsi="Calibri"/>
                <w:sz w:val="22"/>
              </w:rPr>
              <w:t>$0.762</w:t>
            </w:r>
          </w:p>
        </w:tc>
        <w:tc>
          <w:tcPr>
            <w:tcW w:type="dxa" w:w="1728"/>
          </w:tcPr>
          <w:p>
            <w:r>
              <w:rPr>
                <w:rFonts w:ascii="Calibri" w:hAnsi="Calibri"/>
                <w:sz w:val="22"/>
              </w:rPr>
              <w:t>No formal revision; consensus at $0.762 sits just above the $0.75 midpoint. Solar wafer shutdown ($0.07 EPS drag) already embedded in guide.</w:t>
            </w:r>
          </w:p>
        </w:tc>
      </w:tr>
      <w:tr>
        <w:tc>
          <w:tcPr>
            <w:tcW w:type="dxa" w:w="1728"/>
          </w:tcPr>
          <w:p>
            <w:r>
              <w:rPr>
                <w:rFonts w:ascii="Calibri" w:hAnsi="Calibri"/>
                <w:sz w:val="22"/>
              </w:rPr>
              <w:t>Solar Wafer Shutdown Expense</w:t>
            </w:r>
          </w:p>
        </w:tc>
        <w:tc>
          <w:tcPr>
            <w:tcW w:type="dxa" w:w="1728"/>
          </w:tcPr>
          <w:p>
            <w:r>
              <w:rPr>
                <w:rFonts w:ascii="Calibri" w:hAnsi="Calibri"/>
                <w:sz w:val="22"/>
              </w:rPr>
              <w:t>+$30M incremental vs. Q1 (~$0.07 EPS headwind)</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Extended maintenance shutdown at solar wafer plant; transition to permanent power system and equipment upgrade. Key risk if shutdown extends into Q3.</w:t>
            </w:r>
          </w:p>
        </w:tc>
      </w:tr>
      <w:tr>
        <w:tc>
          <w:tcPr>
            <w:tcW w:type="dxa" w:w="1728"/>
          </w:tcPr>
          <w:p>
            <w:r>
              <w:rPr>
                <w:rFonts w:ascii="Calibri" w:hAnsi="Calibri"/>
                <w:sz w:val="22"/>
              </w:rPr>
              <w:t>FY 2026 CapEx</w:t>
            </w:r>
          </w:p>
        </w:tc>
        <w:tc>
          <w:tcPr>
            <w:tcW w:type="dxa" w:w="1728"/>
          </w:tcPr>
          <w:p>
            <w:r>
              <w:rPr>
                <w:rFonts w:ascii="Calibri" w:hAnsi="Calibri"/>
                <w:sz w:val="22"/>
              </w:rPr>
              <w:t>~$1.7B (could be slightly above)</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management noted CapEx will ramp in 2027–2028 as optical and solar capacity expansions accelerate.</w:t>
            </w:r>
          </w:p>
        </w:tc>
      </w:tr>
      <w:tr>
        <w:tc>
          <w:tcPr>
            <w:tcW w:type="dxa" w:w="1728"/>
          </w:tcPr>
          <w:p>
            <w:r>
              <w:rPr>
                <w:rFonts w:ascii="Calibri" w:hAnsi="Calibri"/>
                <w:sz w:val="22"/>
              </w:rPr>
              <w:t>Springboard Plan (Long-Term)</w:t>
            </w:r>
          </w:p>
        </w:tc>
        <w:tc>
          <w:tcPr>
            <w:tcW w:type="dxa" w:w="1728"/>
          </w:tcPr>
          <w:p>
            <w:r>
              <w:rPr>
                <w:rFonts w:ascii="Calibri" w:hAnsi="Calibri"/>
                <w:sz w:val="22"/>
              </w:rPr>
              <w:t>Upgrade planned for May 6 Investor Day; prior target $11B incremental by end-2028</w:t>
            </w:r>
          </w:p>
        </w:tc>
        <w:tc>
          <w:tcPr>
            <w:tcW w:type="dxa" w:w="1728"/>
          </w:tcPr>
          <w:p>
            <w:r>
              <w:rPr>
                <w:rFonts w:ascii="Calibri" w:hAnsi="Calibri"/>
                <w:sz w:val="22"/>
              </w:rPr>
              <w:t>↑ Upgraded May 6: $30B run rate by end-2028 (internal); $40B by end-2030 (internal); high-confidence plans of $27B and $35B respectively</w:t>
            </w:r>
          </w:p>
        </w:tc>
        <w:tc>
          <w:tcPr>
            <w:tcW w:type="dxa" w:w="1728"/>
          </w:tcPr>
          <w:p>
            <w:r>
              <w:rPr>
                <w:rFonts w:ascii="Calibri" w:hAnsi="Calibri"/>
                <w:sz w:val="22"/>
              </w:rPr>
              <w:t>N/A (long-term)</w:t>
            </w:r>
          </w:p>
        </w:tc>
        <w:tc>
          <w:tcPr>
            <w:tcW w:type="dxa" w:w="1728"/>
          </w:tcPr>
          <w:p>
            <w:r>
              <w:rPr>
                <w:rFonts w:ascii="Calibri" w:hAnsi="Calibri"/>
                <w:sz w:val="22"/>
              </w:rPr>
              <w:t>↑ Raised at May 6 Investor Day; significantly more ambitious than prior plan. 19% CAGR from end-2026 to end-2030. New Photonics MAP targeting $10B by 2030.</w:t>
            </w:r>
          </w:p>
        </w:tc>
      </w:tr>
      <w:tr>
        <w:tc>
          <w:tcPr>
            <w:tcW w:type="dxa" w:w="1728"/>
          </w:tcPr>
          <w:p>
            <w:r>
              <w:rPr>
                <w:rFonts w:ascii="Calibri" w:hAnsi="Calibri"/>
                <w:sz w:val="22"/>
              </w:rPr>
              <w:t>Solar MAP Sales Target</w:t>
            </w:r>
          </w:p>
        </w:tc>
        <w:tc>
          <w:tcPr>
            <w:tcW w:type="dxa" w:w="1728"/>
          </w:tcPr>
          <w:p>
            <w:r>
              <w:rPr>
                <w:rFonts w:ascii="Calibri" w:hAnsi="Calibri"/>
                <w:sz w:val="22"/>
              </w:rPr>
              <w:t>~$2.5B by 2028 (prior)</w:t>
            </w:r>
          </w:p>
        </w:tc>
        <w:tc>
          <w:tcPr>
            <w:tcW w:type="dxa" w:w="1728"/>
          </w:tcPr>
          <w:p>
            <w:r>
              <w:rPr>
                <w:rFonts w:ascii="Calibri" w:hAnsi="Calibri"/>
                <w:sz w:val="22"/>
              </w:rPr>
              <w:t>↑ Raised to &gt;$3B at May 6 Investor Day</w:t>
            </w:r>
          </w:p>
        </w:tc>
        <w:tc>
          <w:tcPr>
            <w:tcW w:type="dxa" w:w="1728"/>
          </w:tcPr>
          <w:p>
            <w:r>
              <w:rPr>
                <w:rFonts w:ascii="Calibri" w:hAnsi="Calibri"/>
                <w:sz w:val="22"/>
              </w:rPr>
              <w:t>$1.823B FY2026 consensus</w:t>
            </w:r>
          </w:p>
        </w:tc>
        <w:tc>
          <w:tcPr>
            <w:tcW w:type="dxa" w:w="1728"/>
          </w:tcPr>
          <w:p>
            <w:r>
              <w:rPr>
                <w:rFonts w:ascii="Calibri" w:hAnsi="Calibri"/>
                <w:sz w:val="22"/>
              </w:rPr>
              <w:t>↑ Raised at May 6 Investor Day; strong downstream demand cited. Polysilicon and modules at/above corporate margin target; wafer ramp remains the execution risk.</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for both Q2 and FY2026, tracking in line with or slightly above guidance — the Street has absorbed the Investor Day upgrade and Amazon deal without a dramatic revision surge, suggesting the bar is not stretched. FY2027 estimates have moved up more meaningfully (+3.8% on EPS), reflecting growing conviction in the Springboard acceleration.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$4.430B</w:t>
            </w:r>
          </w:p>
        </w:tc>
        <w:tc>
          <w:tcPr>
            <w:tcW w:type="dxa" w:w="1080"/>
          </w:tcPr>
          <w:p>
            <w:r>
              <w:rPr>
                <w:rFonts w:ascii="Calibri" w:hAnsi="Calibri"/>
                <w:sz w:val="22"/>
              </w:rPr>
              <w:t>$4.478B</w:t>
            </w:r>
          </w:p>
        </w:tc>
        <w:tc>
          <w:tcPr>
            <w:tcW w:type="dxa" w:w="1080"/>
          </w:tcPr>
          <w:p>
            <w:r>
              <w:rPr>
                <w:rFonts w:ascii="Calibri" w:hAnsi="Calibri"/>
                <w:b/>
                <w:color w:val="30A46C"/>
                <w:sz w:val="22"/>
              </w:rPr>
              <w:t>+1.1%</w:t>
            </w:r>
          </w:p>
        </w:tc>
        <w:tc>
          <w:tcPr>
            <w:tcW w:type="dxa" w:w="1080"/>
          </w:tcPr>
          <w:p>
            <w:r>
              <w:rPr>
                <w:rFonts w:ascii="Calibri" w:hAnsi="Calibri"/>
                <w:sz w:val="22"/>
              </w:rPr>
              <w:t>~$4.6B</w:t>
            </w:r>
          </w:p>
        </w:tc>
        <w:tc>
          <w:tcPr>
            <w:tcW w:type="dxa" w:w="1080"/>
          </w:tcPr>
          <w:p>
            <w:r>
              <w:rPr>
                <w:rFonts w:ascii="Calibri" w:hAnsi="Calibri"/>
                <w:sz w:val="22"/>
              </w:rPr>
              <w:t>~$4.6B (unchanged)</w:t>
            </w:r>
          </w:p>
        </w:tc>
        <w:tc>
          <w:tcPr>
            <w:tcW w:type="dxa" w:w="1080"/>
          </w:tcPr>
          <w:p>
            <w:r>
              <w:rPr>
                <w:rFonts w:ascii="Calibri" w:hAnsi="Calibri"/>
                <w:sz w:val="22"/>
              </w:rPr>
              <w:t>—</w:t>
            </w:r>
          </w:p>
        </w:tc>
        <w:tc>
          <w:tcPr>
            <w:tcW w:type="dxa" w:w="1080"/>
          </w:tcPr>
          <w:p>
            <w:r>
              <w:rPr>
                <w:rFonts w:ascii="Calibri" w:hAnsi="Calibri"/>
                <w:sz w:val="22"/>
              </w:rPr>
              <w:t>-2.7% below midpoint</w:t>
            </w:r>
          </w:p>
        </w:tc>
      </w:tr>
      <w:tr>
        <w:tc>
          <w:tcPr>
            <w:tcW w:type="dxa" w:w="1080"/>
          </w:tcPr>
          <w:p>
            <w:r>
              <w:rPr>
                <w:rFonts w:ascii="Calibri" w:hAnsi="Calibri"/>
                <w:sz w:val="22"/>
              </w:rPr>
              <w:t>Core EPS — Q2 2026</w:t>
            </w:r>
          </w:p>
        </w:tc>
        <w:tc>
          <w:tcPr>
            <w:tcW w:type="dxa" w:w="1080"/>
          </w:tcPr>
          <w:p>
            <w:r>
              <w:rPr>
                <w:rFonts w:ascii="Calibri" w:hAnsi="Calibri"/>
                <w:sz w:val="22"/>
              </w:rPr>
              <w:t>$0.761</w:t>
            </w:r>
          </w:p>
        </w:tc>
        <w:tc>
          <w:tcPr>
            <w:tcW w:type="dxa" w:w="1080"/>
          </w:tcPr>
          <w:p>
            <w:r>
              <w:rPr>
                <w:rFonts w:ascii="Calibri" w:hAnsi="Calibri"/>
                <w:sz w:val="22"/>
              </w:rPr>
              <w:t>$0.762</w:t>
            </w:r>
          </w:p>
        </w:tc>
        <w:tc>
          <w:tcPr>
            <w:tcW w:type="dxa" w:w="1080"/>
          </w:tcPr>
          <w:p>
            <w:r>
              <w:rPr>
                <w:rFonts w:ascii="Calibri" w:hAnsi="Calibri"/>
                <w:b/>
                <w:color w:val="002FA7"/>
                <w:sz w:val="22"/>
              </w:rPr>
              <w:t>+0.1%</w:t>
            </w:r>
          </w:p>
        </w:tc>
        <w:tc>
          <w:tcPr>
            <w:tcW w:type="dxa" w:w="1080"/>
          </w:tcPr>
          <w:p>
            <w:r>
              <w:rPr>
                <w:rFonts w:ascii="Calibri" w:hAnsi="Calibri"/>
                <w:sz w:val="22"/>
              </w:rPr>
              <w:t>$0.73–$0.77</w:t>
            </w:r>
          </w:p>
        </w:tc>
        <w:tc>
          <w:tcPr>
            <w:tcW w:type="dxa" w:w="1080"/>
          </w:tcPr>
          <w:p>
            <w:r>
              <w:rPr>
                <w:rFonts w:ascii="Calibri" w:hAnsi="Calibri"/>
                <w:sz w:val="22"/>
              </w:rPr>
              <w:t>$0.73–$0.77 (unchanged)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Optical Comm. Revenue — Q2 2026</w:t>
            </w:r>
          </w:p>
        </w:tc>
        <w:tc>
          <w:tcPr>
            <w:tcW w:type="dxa" w:w="1080"/>
          </w:tcPr>
          <w:p>
            <w:r>
              <w:rPr>
                <w:rFonts w:ascii="Calibri" w:hAnsi="Calibri"/>
                <w:sz w:val="22"/>
              </w:rPr>
              <w:t>$2.032B</w:t>
            </w:r>
          </w:p>
        </w:tc>
        <w:tc>
          <w:tcPr>
            <w:tcW w:type="dxa" w:w="1080"/>
          </w:tcPr>
          <w:p>
            <w:r>
              <w:rPr>
                <w:rFonts w:ascii="Calibri" w:hAnsi="Calibri"/>
                <w:sz w:val="22"/>
              </w:rPr>
              <w:t>$2.023B</w:t>
            </w:r>
          </w:p>
        </w:tc>
        <w:tc>
          <w:tcPr>
            <w:tcW w:type="dxa" w:w="1080"/>
          </w:tcPr>
          <w:p>
            <w:r>
              <w:rPr>
                <w:rFonts w:ascii="Calibri" w:hAnsi="Calibri"/>
                <w:b/>
                <w:color w:val="002FA7"/>
                <w:sz w:val="22"/>
              </w:rPr>
              <w:t>-0.4%</w:t>
            </w:r>
          </w:p>
        </w:tc>
        <w:tc>
          <w:tcPr>
            <w:tcW w:type="dxa" w:w="1080"/>
          </w:tcPr>
          <w:p>
            <w:r>
              <w:rPr>
                <w:rFonts w:ascii="Calibri" w:hAnsi="Calibri"/>
                <w:sz w:val="22"/>
              </w:rPr>
              <w:t>No segment guidance</w:t>
            </w:r>
          </w:p>
        </w:tc>
        <w:tc>
          <w:tcPr>
            <w:tcW w:type="dxa" w:w="1080"/>
          </w:tcPr>
          <w:p>
            <w:r>
              <w:rPr>
                <w:rFonts w:ascii="Calibri" w:hAnsi="Calibri"/>
                <w:sz w:val="22"/>
              </w:rPr>
              <w:t>No segment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$18.183B</w:t>
            </w:r>
          </w:p>
        </w:tc>
        <w:tc>
          <w:tcPr>
            <w:tcW w:type="dxa" w:w="1080"/>
          </w:tcPr>
          <w:p>
            <w:r>
              <w:rPr>
                <w:rFonts w:ascii="Calibri" w:hAnsi="Calibri"/>
                <w:sz w:val="22"/>
              </w:rPr>
              <w:t>$18.392B</w:t>
            </w:r>
          </w:p>
        </w:tc>
        <w:tc>
          <w:tcPr>
            <w:tcW w:type="dxa" w:w="1080"/>
          </w:tcPr>
          <w:p>
            <w:r>
              <w:rPr>
                <w:rFonts w:ascii="Calibri" w:hAnsi="Calibri"/>
                <w:b/>
                <w:color w:val="30A46C"/>
                <w:sz w:val="22"/>
              </w:rPr>
              <w:t>+1.1%</w:t>
            </w:r>
          </w:p>
        </w:tc>
        <w:tc>
          <w:tcPr>
            <w:tcW w:type="dxa" w:w="1080"/>
          </w:tcPr>
          <w:p>
            <w:r>
              <w:rPr>
                <w:rFonts w:ascii="Calibri" w:hAnsi="Calibri"/>
                <w:sz w:val="22"/>
              </w:rPr>
              <w:t>~$20B run rate by end-2026 (internal plan)</w:t>
            </w:r>
          </w:p>
        </w:tc>
        <w:tc>
          <w:tcPr>
            <w:tcW w:type="dxa" w:w="1080"/>
          </w:tcPr>
          <w:p>
            <w:r>
              <w:rPr>
                <w:rFonts w:ascii="Calibri" w:hAnsi="Calibri"/>
                <w:sz w:val="22"/>
              </w:rPr>
              <w:t>~$20B run rate by end-2026 (unchanged)</w:t>
            </w:r>
          </w:p>
        </w:tc>
        <w:tc>
          <w:tcPr>
            <w:tcW w:type="dxa" w:w="1080"/>
          </w:tcPr>
          <w:p>
            <w:r>
              <w:rPr>
                <w:rFonts w:ascii="Calibri" w:hAnsi="Calibri"/>
                <w:sz w:val="22"/>
              </w:rPr>
              <w:t>—</w:t>
            </w:r>
          </w:p>
        </w:tc>
        <w:tc>
          <w:tcPr>
            <w:tcW w:type="dxa" w:w="1080"/>
          </w:tcPr>
          <w:p>
            <w:r>
              <w:rPr>
                <w:rFonts w:ascii="Calibri" w:hAnsi="Calibri"/>
                <w:sz w:val="22"/>
              </w:rPr>
              <w:t>Consensus below internal plan; high-confidence plan not specified for FY</w:t>
            </w:r>
          </w:p>
        </w:tc>
      </w:tr>
      <w:tr>
        <w:tc>
          <w:tcPr>
            <w:tcW w:type="dxa" w:w="1080"/>
          </w:tcPr>
          <w:p>
            <w:r>
              <w:rPr>
                <w:rFonts w:ascii="Calibri" w:hAnsi="Calibri"/>
                <w:sz w:val="22"/>
              </w:rPr>
              <w:t>Core EPS — FY2026</w:t>
            </w:r>
          </w:p>
        </w:tc>
        <w:tc>
          <w:tcPr>
            <w:tcW w:type="dxa" w:w="1080"/>
          </w:tcPr>
          <w:p>
            <w:r>
              <w:rPr>
                <w:rFonts w:ascii="Calibri" w:hAnsi="Calibri"/>
                <w:sz w:val="22"/>
              </w:rPr>
              <w:t>$3.203</w:t>
            </w:r>
          </w:p>
        </w:tc>
        <w:tc>
          <w:tcPr>
            <w:tcW w:type="dxa" w:w="1080"/>
          </w:tcPr>
          <w:p>
            <w:r>
              <w:rPr>
                <w:rFonts w:ascii="Calibri" w:hAnsi="Calibri"/>
                <w:sz w:val="22"/>
              </w:rPr>
              <w:t>$3.239</w:t>
            </w:r>
          </w:p>
        </w:tc>
        <w:tc>
          <w:tcPr>
            <w:tcW w:type="dxa" w:w="1080"/>
          </w:tcPr>
          <w:p>
            <w:r>
              <w:rPr>
                <w:rFonts w:ascii="Calibri" w:hAnsi="Calibri"/>
                <w:b/>
                <w:color w:val="30A46C"/>
                <w:sz w:val="22"/>
              </w:rPr>
              <w:t>+1.1%</w:t>
            </w:r>
          </w:p>
        </w:tc>
        <w:tc>
          <w:tcPr>
            <w:tcW w:type="dxa" w:w="1080"/>
          </w:tcPr>
          <w:p>
            <w:r>
              <w:rPr>
                <w:rFonts w:ascii="Calibri" w:hAnsi="Calibri"/>
                <w:sz w:val="22"/>
              </w:rPr>
              <w:t>~$3 EPS rate (Investor Day)</w:t>
            </w:r>
          </w:p>
        </w:tc>
        <w:tc>
          <w:tcPr>
            <w:tcW w:type="dxa" w:w="1080"/>
          </w:tcPr>
          <w:p>
            <w:r>
              <w:rPr>
                <w:rFonts w:ascii="Calibri" w:hAnsi="Calibri"/>
                <w:sz w:val="22"/>
              </w:rPr>
              <w:t>~$3 EPS rate (unchanged)</w:t>
            </w:r>
          </w:p>
        </w:tc>
        <w:tc>
          <w:tcPr>
            <w:tcW w:type="dxa" w:w="1080"/>
          </w:tcPr>
          <w:p>
            <w:r>
              <w:rPr>
                <w:rFonts w:ascii="Calibri" w:hAnsi="Calibri"/>
                <w:sz w:val="22"/>
              </w:rPr>
              <w:t>—</w:t>
            </w:r>
          </w:p>
        </w:tc>
        <w:tc>
          <w:tcPr>
            <w:tcW w:type="dxa" w:w="1080"/>
          </w:tcPr>
          <w:p>
            <w:r>
              <w:rPr>
                <w:rFonts w:ascii="Calibri" w:hAnsi="Calibri"/>
                <w:sz w:val="22"/>
              </w:rPr>
              <w:t>+8.0% above stated ~$3 rate</w:t>
            </w:r>
          </w:p>
        </w:tc>
      </w:tr>
      <w:tr>
        <w:tc>
          <w:tcPr>
            <w:tcW w:type="dxa" w:w="1080"/>
          </w:tcPr>
          <w:p>
            <w:r>
              <w:rPr>
                <w:rFonts w:ascii="Calibri" w:hAnsi="Calibri"/>
                <w:sz w:val="22"/>
              </w:rPr>
              <w:t>Net Sales — FY2027</w:t>
            </w:r>
          </w:p>
        </w:tc>
        <w:tc>
          <w:tcPr>
            <w:tcW w:type="dxa" w:w="1080"/>
          </w:tcPr>
          <w:p>
            <w:r>
              <w:rPr>
                <w:rFonts w:ascii="Calibri" w:hAnsi="Calibri"/>
                <w:sz w:val="22"/>
              </w:rPr>
              <w:t>$21.685B</w:t>
            </w:r>
          </w:p>
        </w:tc>
        <w:tc>
          <w:tcPr>
            <w:tcW w:type="dxa" w:w="1080"/>
          </w:tcPr>
          <w:p>
            <w:r>
              <w:rPr>
                <w:rFonts w:ascii="Calibri" w:hAnsi="Calibri"/>
                <w:sz w:val="22"/>
              </w:rPr>
              <w:t>$22.564B</w:t>
            </w:r>
          </w:p>
        </w:tc>
        <w:tc>
          <w:tcPr>
            <w:tcW w:type="dxa" w:w="1080"/>
          </w:tcPr>
          <w:p>
            <w:r>
              <w:rPr>
                <w:rFonts w:ascii="Calibri" w:hAnsi="Calibri"/>
                <w:b/>
                <w:color w:val="30A46C"/>
                <w:sz w:val="22"/>
              </w:rPr>
              <w:t>+4.1%</w:t>
            </w:r>
          </w:p>
        </w:tc>
        <w:tc>
          <w:tcPr>
            <w:tcW w:type="dxa" w:w="1080"/>
          </w:tcPr>
          <w:p>
            <w:r>
              <w:rPr>
                <w:rFonts w:ascii="Calibri" w:hAnsi="Calibri"/>
                <w:sz w:val="22"/>
              </w:rPr>
              <w:t>N/A (no FY2027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Core EPS — FY2027</w:t>
            </w:r>
          </w:p>
        </w:tc>
        <w:tc>
          <w:tcPr>
            <w:tcW w:type="dxa" w:w="1080"/>
          </w:tcPr>
          <w:p>
            <w:r>
              <w:rPr>
                <w:rFonts w:ascii="Calibri" w:hAnsi="Calibri"/>
                <w:sz w:val="22"/>
              </w:rPr>
              <w:t>$4.276</w:t>
            </w:r>
          </w:p>
        </w:tc>
        <w:tc>
          <w:tcPr>
            <w:tcW w:type="dxa" w:w="1080"/>
          </w:tcPr>
          <w:p>
            <w:r>
              <w:rPr>
                <w:rFonts w:ascii="Calibri" w:hAnsi="Calibri"/>
                <w:sz w:val="22"/>
              </w:rPr>
              <w:t>$4.441</w:t>
            </w:r>
          </w:p>
        </w:tc>
        <w:tc>
          <w:tcPr>
            <w:tcW w:type="dxa" w:w="1080"/>
          </w:tcPr>
          <w:p>
            <w:r>
              <w:rPr>
                <w:rFonts w:ascii="Calibri" w:hAnsi="Calibri"/>
                <w:b/>
                <w:color w:val="30A46C"/>
                <w:sz w:val="22"/>
              </w:rPr>
              <w:t>+3.9%</w:t>
            </w:r>
          </w:p>
        </w:tc>
        <w:tc>
          <w:tcPr>
            <w:tcW w:type="dxa" w:w="1080"/>
          </w:tcPr>
          <w:p>
            <w:r>
              <w:rPr>
                <w:rFonts w:ascii="Calibri" w:hAnsi="Calibri"/>
                <w:sz w:val="22"/>
              </w:rPr>
              <w:t>N/A (no FY2027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uses consensus as of May 5, 2026 (5 trading days after April 28 earnings). FY2027 estimate revisions (+3.9% EPS, +4.1% revenue) are the most meaningful move, reflecting the Street beginning to model the Springboard 2030 upgrade and Photonics MAP contribution. Q2 estimates are essentially flat from the post-print baseline, consistent with management not revising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GLW dramatically outperformed XLK and the S&amp;P 500 through late June (peaking +67% indexed vs. the April 28 close), driven by the Investor Day upgrade and Amazon deal, but has since given back all of those gains and is now trading </w:t>
      </w:r>
      <w:r>
        <w:rPr>
          <w:rFonts w:ascii="Calibri" w:hAnsi="Calibri"/>
          <w:b/>
          <w:color w:val="525866"/>
          <w:sz w:val="22"/>
        </w:rPr>
        <w:t>below</w:t>
      </w:r>
      <w:r>
        <w:rPr>
          <w:rFonts w:ascii="Calibri" w:hAnsi="Calibri"/>
          <w:color w:val="525866"/>
          <w:sz w:val="22"/>
        </w:rPr>
        <w:t xml:space="preserve"> the Q1 earnings close — suggesting the market has fully priced out the near-term enthusiasm and the stock is now a cleaner setup heading into Q2 results.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GLW vs. XLK vs. S&amp;P 500 — Indexed to 100 at April 28, 2026 (Q1 2026 Earnings Date). Source: Stock Price Data.</w:t>
      </w:r>
    </w:p>
    <w:p>
      <w:r>
        <w:rPr>
          <w:rFonts w:ascii="Calibri" w:hAnsi="Calibri"/>
          <w:color w:val="525866"/>
          <w:sz w:val="22"/>
        </w:rPr>
        <w:t>GLW opened at $153.05 on April 28 (Q1 earnings day) and surged to a peak of $255.69 on June 29 (+67% indexed), driven by the May 6 Investor Day Springboard upgrade and the June 8 Amazon multibillion-dollar fiber deal. The stock then sold off sharply — losing ~44% from peak to the July 28 close of $143.36 — as the market digested the elevated valuation and rotated out of the name ahead of Q2 results. Over the full period since Q1 earnings, GLW is down ~6.3% vs. XLK +10.4% and SPY +3.8%, making it a notable underperformer despite the fundamental news flow. The sell-off appears sentiment- and multiple-driven rather than fundamental, as estimate revisions have been modestly positive throughout. Key events marked: Q1 Earnings (Apr 28), Investor Day / Nvidia deal (May 6), Amazon deal (Jun 8), and the sharp reversal beginning late June.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Amazon multibillion-dollar fiber deal (June 8), which confirmed a fourth hyperscale agreement and drove a 67% stock surge before the subsequent reversal. The Investor Day Springboard upgrade is the second most important, materially raising the long-term growth targets and introducing the Photonics MAP.</w:t>
      </w:r>
    </w:p>
    <w:p>
      <w:pPr>
        <w:pStyle w:val="ListBullet"/>
        <w:ind w:left="360" w:hanging="360"/>
      </w:pPr>
      <w:r>
        <w:rPr>
          <w:rFonts w:ascii="Calibri" w:hAnsi="Calibri"/>
          <w:b/>
          <w:color w:val="525866"/>
          <w:sz w:val="22"/>
        </w:rPr>
        <w:t>May 6, 2026 — Investor Day / Springboard Plan Upgrade:</w:t>
      </w:r>
      <w:r>
        <w:rPr>
          <w:rFonts w:ascii="Calibri" w:hAnsi="Calibri"/>
          <w:i/>
          <w:color w:val="525866"/>
          <w:sz w:val="22"/>
        </w:rPr>
        <w:t xml:space="preserve"> Corning upgraded and extended its Springboard plan, targeting a $40B annualized sales run rate by end-2030 (internal plan; $35B high-confidence) and $30B by end-2028 (internal; $27B high-confidence). Introduced a new Photonics Market-Access Platform (MAP) targeting a $10B opportunity by 2030, with initial revenue expected in 2027. Announced 19% CAGR target from end-2026 to end-2030. </w:t>
      </w:r>
      <w:r>
        <w:rPr>
          <w:rFonts w:ascii="Calibri" w:hAnsi="Calibri"/>
          <w:color w:val="525866"/>
          <w:sz w:val="22"/>
        </w:rPr>
        <w:t>Implication: Significantly raises the long-term growth bar; Photonics MAP is a new incremental revenue stream not previously in consensus models.</w:t>
      </w:r>
    </w:p>
    <w:p>
      <w:pPr>
        <w:pStyle w:val="ListBullet"/>
        <w:ind w:left="360" w:hanging="360"/>
      </w:pPr>
      <w:r>
        <w:rPr>
          <w:rFonts w:ascii="Calibri" w:hAnsi="Calibri"/>
          <w:b/>
          <w:color w:val="525866"/>
          <w:sz w:val="22"/>
        </w:rPr>
        <w:t>May 6, 2026 — Nvidia Partnership / Warrant Sale:</w:t>
      </w:r>
      <w:r>
        <w:rPr>
          <w:rFonts w:ascii="Calibri" w:hAnsi="Calibri"/>
          <w:i/>
          <w:color w:val="525866"/>
          <w:sz w:val="22"/>
        </w:rPr>
        <w:t xml:space="preserve"> Corning sold $500M in warrants to Nvidia as part of a long-term technology and commercial partnership. The deal includes a multibillion-dollar prepayment, minimum purchase commitments, and technology collaboration granting Corning visibility into Nvidia’s roadmap. Corning is expanding U.S. fiber capacity by 50% and optical connectivity capacity tenfold under this agreement. </w:t>
      </w:r>
      <w:r>
        <w:rPr>
          <w:rFonts w:ascii="Calibri" w:hAnsi="Calibri"/>
          <w:color w:val="525866"/>
          <w:sz w:val="22"/>
        </w:rPr>
        <w:t>Implication: Anchors the Photonics MAP with Nvidia as the lead OEM customer; equity warrants signal deep strategic alignment.</w:t>
      </w:r>
    </w:p>
    <w:p>
      <w:pPr>
        <w:pStyle w:val="ListBullet"/>
        <w:ind w:left="360" w:hanging="360"/>
      </w:pPr>
      <w:r>
        <w:rPr>
          <w:rFonts w:ascii="Calibri" w:hAnsi="Calibri"/>
          <w:b/>
          <w:color w:val="525866"/>
          <w:sz w:val="22"/>
        </w:rPr>
        <w:t>June 8, 2026 — Amazon Multibillion-Dollar Fiber Deal:</w:t>
      </w:r>
      <w:r>
        <w:rPr>
          <w:rFonts w:ascii="Calibri" w:hAnsi="Calibri"/>
          <w:i/>
          <w:color w:val="525866"/>
          <w:sz w:val="22"/>
        </w:rPr>
        <w:t xml:space="preserve"> Amazon announced a multi-year, multibillion-dollar agreement with Corning for optical fiber, cables, and connectivity solutions to support Amazon’s U.S. data center expansion. The deal will create 1,000 jobs at Corning’s North Carolina facilities and aligns with Amazon’s $10B cloud infrastructure investment in North Carolina. This is the fourth hyperscale agreement (after Meta, and two unnamed hyperscalers announced on the Q1 call). </w:t>
      </w:r>
      <w:r>
        <w:rPr>
          <w:rFonts w:ascii="Calibri" w:hAnsi="Calibri"/>
          <w:color w:val="525866"/>
          <w:sz w:val="22"/>
        </w:rPr>
        <w:t>Implication: Confirms accelerating hyperscale demand for Corning fiber; stock surged ~28% on the announcement day (June 8–9) before the subsequent reversal.</w:t>
      </w:r>
    </w:p>
    <w:p>
      <w:pPr>
        <w:pStyle w:val="ListBullet"/>
        <w:ind w:left="360" w:hanging="360"/>
      </w:pPr>
      <w:r>
        <w:rPr>
          <w:rFonts w:ascii="Calibri" w:hAnsi="Calibri"/>
          <w:b/>
          <w:color w:val="525866"/>
          <w:sz w:val="22"/>
        </w:rPr>
        <w:t>May 15, 2026 — J.P. Morgan Conference (8-K):</w:t>
      </w:r>
      <w:r>
        <w:rPr>
          <w:rFonts w:ascii="Calibri" w:hAnsi="Calibri"/>
          <w:i/>
          <w:color w:val="525866"/>
          <w:sz w:val="22"/>
        </w:rPr>
        <w:t xml:space="preserve"> Corning executives presented business updates at the J.P. Morgan conference, reinforcing the Springboard upgrade narrative and optical demand outlook. No material guidance revision disclosed. </w:t>
      </w:r>
      <w:r>
        <w:rPr>
          <w:rFonts w:ascii="Calibri" w:hAnsi="Calibri"/>
          <w:color w:val="525866"/>
          <w:sz w:val="22"/>
        </w:rPr>
        <w:t>Implication: Consistent tone with Investor Day; no negative pre-announcement.</w:t>
      </w:r>
    </w:p>
    <w:p>
      <w:pPr>
        <w:pStyle w:val="ListBullet"/>
        <w:ind w:left="360" w:hanging="360"/>
      </w:pPr>
      <w:r>
        <w:rPr>
          <w:rFonts w:ascii="Calibri" w:hAnsi="Calibri"/>
          <w:b/>
          <w:color w:val="525866"/>
          <w:sz w:val="22"/>
        </w:rPr>
        <w:t>April 28, 2026 — Segment Restructuring:</w:t>
      </w:r>
      <w:r>
        <w:rPr>
          <w:rFonts w:ascii="Calibri" w:hAnsi="Calibri"/>
          <w:i/>
          <w:color w:val="525866"/>
          <w:sz w:val="22"/>
        </w:rPr>
        <w:t xml:space="preserve"> Corning recast historical segment data to reflect the new reporting structure: Glass Innovations (combining Display + Specialty Materials) and Solar as a standalone segment. Historical data recast via 8-K. </w:t>
      </w:r>
      <w:r>
        <w:rPr>
          <w:rFonts w:ascii="Calibri" w:hAnsi="Calibri"/>
          <w:color w:val="525866"/>
          <w:sz w:val="22"/>
        </w:rPr>
        <w:t>Implication: Improves transparency on the solar ramp and optical growth; investors can now track solar profitability independently.</w:t>
      </w:r>
    </w:p>
    <w:p>
      <w:pPr>
        <w:pStyle w:val="ListBullet"/>
        <w:ind w:left="360" w:hanging="360"/>
      </w:pPr>
      <w:r>
        <w:rPr>
          <w:rFonts w:ascii="Calibri" w:hAnsi="Calibri"/>
          <w:b/>
          <w:color w:val="525866"/>
          <w:sz w:val="22"/>
        </w:rPr>
        <w:t>April 28, 2026 — Q1 2026 Results:</w:t>
      </w:r>
      <w:r>
        <w:rPr>
          <w:rFonts w:ascii="Calibri" w:hAnsi="Calibri"/>
          <w:i/>
          <w:color w:val="525866"/>
          <w:sz w:val="22"/>
        </w:rPr>
        <w:t xml:space="preserve"> Revenue of $4.35B (+18% YoY) and core EPS of $0.70 (+30% YoY) both came in at the high end of guidance. Q2 guidance of ~$4.6B revenue and $0.73–$0.77 EPS came in below elevated Street expectations, driving a sharp premarket sell-off despite the operational beat. Two additional hyperscale agreements (similar in size/duration to Meta) announced. </w:t>
      </w:r>
      <w:r>
        <w:rPr>
          <w:rFonts w:ascii="Calibri" w:hAnsi="Calibri"/>
          <w:color w:val="525866"/>
          <w:sz w:val="22"/>
        </w:rPr>
        <w:t>Implication: The Q2 guidance miss vs. elevated expectations set the stage for the subsequent volatility; the hyperscale wins were the key positive offset.</w:t>
      </w:r>
    </w:p>
    <w:p>
      <w:pPr>
        <w:pStyle w:val="ListBullet"/>
        <w:ind w:left="360" w:hanging="360"/>
      </w:pPr>
      <w:r>
        <w:rPr>
          <w:rFonts w:ascii="Calibri" w:hAnsi="Calibri"/>
          <w:b/>
          <w:color w:val="525866"/>
          <w:sz w:val="22"/>
        </w:rPr>
        <w:t>Ongoing — Solar Wafer Ramp Risk:</w:t>
      </w:r>
      <w:r>
        <w:rPr>
          <w:rFonts w:ascii="Calibri" w:hAnsi="Calibri"/>
          <w:i/>
          <w:color w:val="525866"/>
          <w:sz w:val="22"/>
        </w:rPr>
        <w:t xml:space="preserve"> The solar wafer facility is undergoing an extended maintenance shutdown in Q2, adding ~$30M of incremental expense (~$0.07 EPS headwind). Polysilicon and module operations are performing at or above the 20% corporate operating margin target, but the wafer ramp is running behind plan. </w:t>
      </w:r>
      <w:r>
        <w:rPr>
          <w:rFonts w:ascii="Calibri" w:hAnsi="Calibri"/>
          <w:color w:val="525866"/>
          <w:sz w:val="22"/>
        </w:rPr>
        <w:t>Implication: The single biggest near-term execution risk; any signal of further delay would pressure 2H 2026 margin estimates.</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Peer commentary since the Q1 print is overwhelmingly bullish for Corning’s optical business — Lumentum, Coherent, Arista, Cisco, and Nvidia all confirm accelerating AI data center demand with no signs of attenuation, supply constraints (not demand weakness) are the binding factor, and hyperscaler CapEx is being raised. The Amazon deal read-through from Lumentum’s Mizuho conference (June 9) is the most direct GLW-specific signal. The only caution is that the optical supply chain is extremely tight, which could limit Corning’s ability to outperform its own guidance.</w:t>
      </w:r>
    </w:p>
    <w:p>
      <w:r>
        <w:rPr>
          <w:rFonts w:ascii="Calibri" w:hAnsi="Calibri"/>
          <w:b/>
          <w:color w:val="525866"/>
          <w:sz w:val="22"/>
        </w:rPr>
        <w:t xml:space="preserve">Note: </w:t>
      </w:r>
      <w:r>
        <w:rPr>
          <w:rFonts w:ascii="Calibri" w:hAnsi="Calibri"/>
          <w:color w:val="525866"/>
          <w:sz w:val="22"/>
        </w:rPr>
        <w:t>All peer commentaries below are from events occurring after GLW’s Q1 2026 earnings (April 28, 2026) and are relevant to GLW’s Q2 2026 reporting period (April–June 2026). Prior-quarter earnings results from peers are excluded; only forward-looking commentary and current-quarter demand signals are included.</w:t>
      </w:r>
    </w:p>
    <w:p>
      <w:pPr>
        <w:pStyle w:val="Heading3"/>
      </w:pPr>
      <w:r>
        <w:rPr>
          <w:rFonts w:ascii="Calibri" w:hAnsi="Calibri"/>
          <w:b/>
          <w:color w:val="3B4259"/>
          <w:sz w:val="24"/>
        </w:rPr>
        <w:t>Lumentum (LITE) — Q3 FY2026 Earnings (May 5, 2026) + Bank of America Conference (June 3) + Mizuho Conference (June 9)</w:t>
      </w:r>
    </w:p>
    <w:p>
      <w:r>
        <w:rPr>
          <w:rFonts w:ascii="Calibri" w:hAnsi="Calibri"/>
          <w:b/>
          <w:color w:val="525866"/>
          <w:sz w:val="22"/>
        </w:rPr>
        <w:t xml:space="preserve">Read-Through: </w:t>
      </w:r>
      <w:r>
        <w:rPr>
          <w:rFonts w:ascii="Calibri" w:hAnsi="Calibri"/>
          <w:color w:val="525866"/>
          <w:sz w:val="22"/>
        </w:rPr>
        <w:t>Strongly positive for GLW Optical Communications.</w:t>
      </w:r>
    </w:p>
    <w:p>
      <w:pPr>
        <w:pStyle w:val="ListBullet"/>
        <w:ind w:left="360" w:hanging="360"/>
      </w:pPr>
      <w:r>
        <w:rPr>
          <w:rFonts w:ascii="Calibri" w:hAnsi="Calibri"/>
          <w:color w:val="525866"/>
          <w:sz w:val="22"/>
        </w:rPr>
        <w:t>Demand described as an "AI super cycle" and "photonic super cycle" — "we’ve never seen anything like this in the optics industry." Revenue growing 90% YoY to a record $808M in Q3 FY26, with Q4 guidance of $960M–$1.01B (another record). This confirms the hyperscale fiber and optical demand environment that is driving Corning’s Optical Communications segment.</w:t>
      </w:r>
    </w:p>
    <w:p>
      <w:pPr>
        <w:pStyle w:val="ListBullet"/>
        <w:ind w:left="360" w:hanging="360"/>
      </w:pPr>
      <w:r>
        <w:rPr>
          <w:rFonts w:ascii="Calibri" w:hAnsi="Calibri"/>
          <w:color w:val="525866"/>
          <w:sz w:val="22"/>
        </w:rPr>
        <w:t>Supply constraints are the binding factor, not demand: Lumentum is "under shipping demand by more than 30%" for ML lasers and pump lasers. This is a read-through that Corning’s fiber and connectivity products are also likely sold out, supporting pricing power and the ability to meet its own guidance.</w:t>
      </w:r>
    </w:p>
    <w:p>
      <w:pPr>
        <w:pStyle w:val="ListBullet"/>
        <w:ind w:left="360" w:hanging="360"/>
      </w:pPr>
      <w:r>
        <w:rPr>
          <w:rFonts w:ascii="Calibri" w:hAnsi="Calibri"/>
          <w:color w:val="525866"/>
          <w:sz w:val="22"/>
        </w:rPr>
        <w:t>Scale-up optical (CPO/NPO) is accelerating: Lumentum sees "optical scale up happening in 2028" with optical intensity increasing "at least 3x." This directly supports Corning’s Photonics MAP thesis and the $10B opportunity by 2030.</w:t>
      </w:r>
    </w:p>
    <w:p>
      <w:pPr>
        <w:pStyle w:val="ListBullet"/>
        <w:ind w:left="360" w:hanging="360"/>
      </w:pPr>
      <w:r>
        <w:rPr>
          <w:rFonts w:ascii="Calibri" w:hAnsi="Calibri"/>
          <w:b/>
          <w:color w:val="525866"/>
          <w:sz w:val="22"/>
        </w:rPr>
        <w:t>Amazon-Corning deal read-through (Mizuho, June 9):</w:t>
      </w:r>
      <w:r>
        <w:rPr>
          <w:rFonts w:ascii="Calibri" w:hAnsi="Calibri"/>
          <w:color w:val="525866"/>
          <w:sz w:val="22"/>
        </w:rPr>
        <w:t xml:space="preserve"> Lumentum’s CEO explicitly referenced the Amazon-Corning announcement: "You saw yesterday one major hyperscaler [Amazon] make an announcement with Corning. That is really indicative of how that guy is thinking about near packaged optics, how they’re thinking about employing a heavier degree of optics in the backplane." This is the most direct peer validation of the Amazon deal’s strategic significance for GLW.</w:t>
      </w:r>
    </w:p>
    <w:p>
      <w:pPr>
        <w:pStyle w:val="ListBullet"/>
        <w:ind w:left="360" w:hanging="360"/>
      </w:pPr>
      <w:r>
        <w:rPr>
          <w:rFonts w:ascii="Calibri" w:hAnsi="Calibri"/>
          <w:color w:val="525866"/>
          <w:sz w:val="22"/>
        </w:rPr>
        <w:t>Hyperscaler LTAs with prepayments, take-or-pay, and price increases are becoming standard — directly validating Corning’s deal structure with Meta, Nvidia, and Amazon.</w:t>
      </w:r>
    </w:p>
    <w:p>
      <w:pPr>
        <w:pStyle w:val="Heading3"/>
      </w:pPr>
      <w:r>
        <w:rPr>
          <w:rFonts w:ascii="Calibri" w:hAnsi="Calibri"/>
          <w:b/>
          <w:color w:val="3B4259"/>
          <w:sz w:val="24"/>
        </w:rPr>
        <w:t>Coherent (COHR) — Q3 FY2026 Earnings (May 6, 2026)</w:t>
      </w:r>
    </w:p>
    <w:p>
      <w:r>
        <w:rPr>
          <w:rFonts w:ascii="Calibri" w:hAnsi="Calibri"/>
          <w:b/>
          <w:color w:val="525866"/>
          <w:sz w:val="22"/>
        </w:rPr>
        <w:t xml:space="preserve">Read-Through: </w:t>
      </w:r>
      <w:r>
        <w:rPr>
          <w:rFonts w:ascii="Calibri" w:hAnsi="Calibri"/>
          <w:color w:val="525866"/>
          <w:sz w:val="22"/>
        </w:rPr>
        <w:t>Strongly positive for GLW Optical Communications; confirms accelerating demand with no attenuation.</w:t>
      </w:r>
    </w:p>
    <w:p>
      <w:pPr>
        <w:pStyle w:val="ListBullet"/>
        <w:ind w:left="360" w:hanging="360"/>
      </w:pPr>
      <w:r>
        <w:rPr>
          <w:rFonts w:ascii="Calibri" w:hAnsi="Calibri"/>
          <w:color w:val="525866"/>
          <w:sz w:val="22"/>
        </w:rPr>
        <w:t>Datacenter &amp; Communications segment (75% of revenue) grew 40%+ YoY in Q3, with data center revenue up 13% sequentially and 37% YoY. Q4 guidance of $1.91B–$2.05B implies further acceleration. "Customer demand is exceptionally strong with no signs of attenuation" and "visibility extends further into the future, with orders now reaching into calendar 2028."</w:t>
      </w:r>
    </w:p>
    <w:p>
      <w:pPr>
        <w:pStyle w:val="ListBullet"/>
        <w:ind w:left="360" w:hanging="360"/>
      </w:pPr>
      <w:r>
        <w:rPr>
          <w:rFonts w:ascii="Calibri" w:hAnsi="Calibri"/>
          <w:color w:val="525866"/>
          <w:sz w:val="22"/>
        </w:rPr>
        <w:t>OCS (Optical Circuit Switch) market opportunity raised to over $4B, with production bottleneck recently resolved. This is a direct read-through for Corning’s Photonics MAP and scale-up optical opportunity.</w:t>
      </w:r>
    </w:p>
    <w:p>
      <w:pPr>
        <w:pStyle w:val="ListBullet"/>
        <w:ind w:left="360" w:hanging="360"/>
      </w:pPr>
      <w:r>
        <w:rPr>
          <w:rFonts w:ascii="Calibri" w:hAnsi="Calibri"/>
          <w:color w:val="525866"/>
          <w:sz w:val="22"/>
        </w:rPr>
        <w:t>Nvidia invested $2B in Coherent and signed a multiyear supply agreement through end of decade — mirrors the Corning-Nvidia partnership structure and confirms Nvidia’s aggressive optical supply chain investment strategy.</w:t>
      </w:r>
    </w:p>
    <w:p>
      <w:pPr>
        <w:pStyle w:val="ListBullet"/>
        <w:ind w:left="360" w:hanging="360"/>
      </w:pPr>
      <w:r>
        <w:rPr>
          <w:rFonts w:ascii="Calibri" w:hAnsi="Calibri"/>
          <w:color w:val="525866"/>
          <w:sz w:val="22"/>
        </w:rPr>
        <w:t>1.6T transceiver ramp is "occurring at an incredibly rapid pace, faster than previously anticipated" — higher-speed transceivers require more fiber content per GPU, a direct tailwind for Corning’s Enterprise Networks segment.</w:t>
      </w:r>
    </w:p>
    <w:p>
      <w:pPr>
        <w:pStyle w:val="ListBullet"/>
        <w:ind w:left="360" w:hanging="360"/>
      </w:pPr>
      <w:r>
        <w:rPr>
          <w:rFonts w:ascii="Calibri" w:hAnsi="Calibri"/>
          <w:color w:val="525866"/>
          <w:sz w:val="22"/>
        </w:rPr>
        <w:t>Fiscal ’27 growth rate expected to exceed fiscal ’26 growth rate — supports Corning’s own 19% CAGR target from end-2026 to end-2030.</w:t>
      </w:r>
    </w:p>
    <w:p>
      <w:pPr>
        <w:pStyle w:val="Heading3"/>
      </w:pPr>
      <w:r>
        <w:rPr>
          <w:rFonts w:ascii="Calibri" w:hAnsi="Calibri"/>
          <w:b/>
          <w:color w:val="3B4259"/>
          <w:sz w:val="24"/>
        </w:rPr>
        <w:t>Arista Networks (ANET) — Q1 2026 Earnings (May 5, 2026) + Multiple Conferences + Rack-Scale AI Webinar (June 25)</w:t>
      </w:r>
    </w:p>
    <w:p>
      <w:r>
        <w:rPr>
          <w:rFonts w:ascii="Calibri" w:hAnsi="Calibri"/>
          <w:b/>
          <w:color w:val="525866"/>
          <w:sz w:val="22"/>
        </w:rPr>
        <w:t xml:space="preserve">Read-Through: </w:t>
      </w:r>
      <w:r>
        <w:rPr>
          <w:rFonts w:ascii="Calibri" w:hAnsi="Calibri"/>
          <w:color w:val="525866"/>
          <w:sz w:val="22"/>
        </w:rPr>
        <w:t>Positive for GLW Optical Communications; confirms AI networking demand at all-time highs with supply as the constraint.</w:t>
      </w:r>
    </w:p>
    <w:p>
      <w:pPr>
        <w:pStyle w:val="ListBullet"/>
        <w:ind w:left="360" w:hanging="360"/>
      </w:pPr>
      <w:r>
        <w:rPr>
          <w:rFonts w:ascii="Calibri" w:hAnsi="Calibri"/>
          <w:color w:val="525866"/>
          <w:sz w:val="22"/>
        </w:rPr>
        <w:t>"Demand is at an all-time high" but supply is constrained by industry-wide shortages of wafers, silicon chips, CPUs, optics, and memory. Multi-year purchase commitments increased to $8.9B from $6.8B in Q4. This confirms the optical supply tightness that supports Corning’s pricing environment.</w:t>
      </w:r>
    </w:p>
    <w:p>
      <w:pPr>
        <w:pStyle w:val="ListBullet"/>
        <w:ind w:left="360" w:hanging="360"/>
      </w:pPr>
      <w:r>
        <w:rPr>
          <w:rFonts w:ascii="Calibri" w:hAnsi="Calibri"/>
          <w:color w:val="525866"/>
          <w:sz w:val="22"/>
        </w:rPr>
        <w:t>AI fabric revenue goal raised from $3.25B to $3.5B for 2026 (more than double prior year). Scale-across is "becoming a bigger use case than previously imagined" and expected to contribute at least one-third of AI revenue in 2026 — scale-across requires long-haul fiber connectivity, a direct GLW tailwind.</w:t>
      </w:r>
    </w:p>
    <w:p>
      <w:pPr>
        <w:pStyle w:val="ListBullet"/>
        <w:ind w:left="360" w:hanging="360"/>
      </w:pPr>
      <w:r>
        <w:rPr>
          <w:rFonts w:ascii="Calibri" w:hAnsi="Calibri"/>
          <w:color w:val="525866"/>
          <w:sz w:val="22"/>
        </w:rPr>
        <w:t>Scale-up optical (CPO/XPO) expected to ramp in 2027–2028, consistent with Corning’s Photonics MAP timeline. Arista’s new XPO form factor (endorsed by 100+ vendors) is designed for 1.6T and 3.2T speeds — higher speeds require more fiber content.</w:t>
      </w:r>
    </w:p>
    <w:p>
      <w:pPr>
        <w:pStyle w:val="ListBullet"/>
        <w:ind w:left="360" w:hanging="360"/>
      </w:pPr>
      <w:r>
        <w:rPr>
          <w:rFonts w:ascii="Calibri" w:hAnsi="Calibri"/>
          <w:color w:val="525866"/>
          <w:sz w:val="22"/>
        </w:rPr>
        <w:t>Rack-scale AI webinar (June 25): Highlighted the shift to liquid-cooled, high-power racks (100kW+) requiring integrated fiber shuffle cables and optical design at the rack level — directly supports Corning’s fiber and connectivity product demand.</w:t>
      </w:r>
    </w:p>
    <w:p>
      <w:pPr>
        <w:pStyle w:val="Heading3"/>
      </w:pPr>
      <w:r>
        <w:rPr>
          <w:rFonts w:ascii="Calibri" w:hAnsi="Calibri"/>
          <w:b/>
          <w:color w:val="3B4259"/>
          <w:sz w:val="24"/>
        </w:rPr>
        <w:t>Cisco (CSCO) — Q3 FY2026 Earnings (May 13, 2026)</w:t>
      </w:r>
    </w:p>
    <w:p>
      <w:r>
        <w:rPr>
          <w:rFonts w:ascii="Calibri" w:hAnsi="Calibri"/>
          <w:b/>
          <w:color w:val="525866"/>
          <w:sz w:val="22"/>
        </w:rPr>
        <w:t xml:space="preserve">Read-Through: </w:t>
      </w:r>
      <w:r>
        <w:rPr>
          <w:rFonts w:ascii="Calibri" w:hAnsi="Calibri"/>
          <w:color w:val="525866"/>
          <w:sz w:val="22"/>
        </w:rPr>
        <w:t>Positive for GLW Optical Communications; hyperscaler AI infrastructure orders accelerating dramatically.</w:t>
      </w:r>
    </w:p>
    <w:p>
      <w:pPr>
        <w:pStyle w:val="ListBullet"/>
        <w:ind w:left="360" w:hanging="360"/>
      </w:pPr>
      <w:r>
        <w:rPr>
          <w:rFonts w:ascii="Calibri" w:hAnsi="Calibri"/>
          <w:color w:val="525866"/>
          <w:sz w:val="22"/>
        </w:rPr>
        <w:t>AI infrastructure orders from hyperscalers totaled $1.9B in Q3 FY26, with year-to-date of $5.3B already exceeding the prior full-year expectation of $5B. Cisco now expects ~$9B in AI infrastructure orders from hyperscalers in FY26 (4.5x FY25). This confirms the hyperscale CapEx acceleration that is driving Corning’s optical demand.</w:t>
      </w:r>
    </w:p>
    <w:p>
      <w:pPr>
        <w:pStyle w:val="ListBullet"/>
        <w:ind w:left="360" w:hanging="360"/>
      </w:pPr>
      <w:r>
        <w:rPr>
          <w:rFonts w:ascii="Calibri" w:hAnsi="Calibri"/>
          <w:color w:val="525866"/>
          <w:sz w:val="22"/>
        </w:rPr>
        <w:t>Acacia Optics (coherent pluggable optics) had its strongest quarter ever with $1B+ in orders in Q3, on track to grow 200%+ YoY in FY26. Two of five new hyperscaler design wins in Q3 were for optics — confirms the optical content per data dollar is rising.</w:t>
      </w:r>
    </w:p>
    <w:p>
      <w:pPr>
        <w:pStyle w:val="ListBullet"/>
        <w:ind w:left="360" w:hanging="360"/>
      </w:pPr>
      <w:r>
        <w:rPr>
          <w:rFonts w:ascii="Calibri" w:hAnsi="Calibri"/>
          <w:color w:val="525866"/>
          <w:sz w:val="22"/>
        </w:rPr>
        <w:t>FY27 preliminary outlook: "Reasonable to expect at least $6B of AI hyperscale revenue" — implies continued strong demand for optical infrastructure components including Corning fiber.</w:t>
      </w:r>
    </w:p>
    <w:p>
      <w:pPr>
        <w:pStyle w:val="ListBullet"/>
        <w:ind w:left="360" w:hanging="360"/>
      </w:pPr>
      <w:r>
        <w:rPr>
          <w:rFonts w:ascii="Calibri" w:hAnsi="Calibri"/>
          <w:color w:val="525866"/>
          <w:sz w:val="22"/>
        </w:rPr>
        <w:t>Enterprise data center switching orders grew 40%+ YoY in Q3 — enterprise AI build-out is accelerating, supporting Corning’s Enterprise Networks segment which grew 36% YoY in Q1 2026.</w:t>
      </w:r>
    </w:p>
    <w:p>
      <w:pPr>
        <w:pStyle w:val="Heading3"/>
      </w:pPr>
      <w:r>
        <w:rPr>
          <w:rFonts w:ascii="Calibri" w:hAnsi="Calibri"/>
          <w:b/>
          <w:color w:val="3B4259"/>
          <w:sz w:val="24"/>
        </w:rPr>
        <w:t>Amphenol (APH) — Q1 2026 Earnings (April 29, 2026)</w:t>
      </w:r>
    </w:p>
    <w:p>
      <w:r>
        <w:rPr>
          <w:rFonts w:ascii="Calibri" w:hAnsi="Calibri"/>
          <w:b/>
          <w:color w:val="525866"/>
          <w:sz w:val="22"/>
        </w:rPr>
        <w:t xml:space="preserve">Read-Through: </w:t>
      </w:r>
      <w:r>
        <w:rPr>
          <w:rFonts w:ascii="Calibri" w:hAnsi="Calibri"/>
          <w:color w:val="525866"/>
          <w:sz w:val="22"/>
        </w:rPr>
        <w:t>Positive for GLW; confirms hyperscaler long-term capacity agreements are becoming standard across the supply chain.</w:t>
      </w:r>
    </w:p>
    <w:p>
      <w:pPr>
        <w:pStyle w:val="ListBullet"/>
        <w:ind w:left="360" w:hanging="360"/>
      </w:pPr>
      <w:r>
        <w:rPr>
          <w:rFonts w:ascii="Calibri" w:hAnsi="Calibri"/>
          <w:color w:val="525866"/>
          <w:sz w:val="22"/>
        </w:rPr>
        <w:t>IT datacom segment (40%+ of sales) grew 99% YoY and 27% sequentially in Q1 2026, with Q2 guidance for a further low-teens sequential increase. "Virtually all of this organic sequential sales growth was driven by growth in AI-related products."</w:t>
      </w:r>
    </w:p>
    <w:p>
      <w:pPr>
        <w:pStyle w:val="ListBullet"/>
        <w:ind w:left="360" w:hanging="360"/>
      </w:pPr>
      <w:r>
        <w:rPr>
          <w:rFonts w:ascii="Calibri" w:hAnsi="Calibri"/>
          <w:color w:val="525866"/>
          <w:sz w:val="22"/>
        </w:rPr>
        <w:t>Analyst explicitly cited Corning on the call: "I think Corning talked about three such large deals on their call" — in the context of hyperscalers engaging in long-term capacity expansion plans with suppliers. Amphenol’s CEO confirmed the trend of customers making commitments to secure supply.</w:t>
      </w:r>
    </w:p>
    <w:p>
      <w:pPr>
        <w:pStyle w:val="ListBullet"/>
        <w:ind w:left="360" w:hanging="360"/>
      </w:pPr>
      <w:r>
        <w:rPr>
          <w:rFonts w:ascii="Calibri" w:hAnsi="Calibri"/>
          <w:color w:val="525866"/>
          <w:sz w:val="22"/>
        </w:rPr>
        <w:t>CommScope acquisition gives Amphenol "the industry’s broadest range of high-speed copper, power and fiber optics interconnect products" — confirms "no doubt a lot of demand for fiber right now around the world."</w:t>
      </w:r>
    </w:p>
    <w:p>
      <w:pPr>
        <w:pStyle w:val="ListBullet"/>
        <w:ind w:left="360" w:hanging="360"/>
      </w:pPr>
      <w:r>
        <w:rPr>
          <w:rFonts w:ascii="Calibri" w:hAnsi="Calibri"/>
          <w:color w:val="525866"/>
          <w:sz w:val="22"/>
        </w:rPr>
        <w:t>"No matter what, there’s going to be more interconnect" — regardless of CPO vs. pluggable vs. copper debates, total optical content per AI system is rising, a structural tailwind for Corning.</w:t>
      </w:r>
    </w:p>
    <w:p>
      <w:pPr>
        <w:pStyle w:val="Heading3"/>
      </w:pPr>
      <w:r>
        <w:rPr>
          <w:rFonts w:ascii="Calibri" w:hAnsi="Calibri"/>
          <w:b/>
          <w:color w:val="3B4259"/>
          <w:sz w:val="24"/>
        </w:rPr>
        <w:t>Nvidia (NVDA) — Q1 FY2027 Earnings (May 20, 2026)</w:t>
      </w:r>
    </w:p>
    <w:p>
      <w:r>
        <w:rPr>
          <w:rFonts w:ascii="Calibri" w:hAnsi="Calibri"/>
          <w:b/>
          <w:color w:val="525866"/>
          <w:sz w:val="22"/>
        </w:rPr>
        <w:t xml:space="preserve">Read-Through: </w:t>
      </w:r>
      <w:r>
        <w:rPr>
          <w:rFonts w:ascii="Calibri" w:hAnsi="Calibri"/>
          <w:color w:val="525866"/>
          <w:sz w:val="22"/>
        </w:rPr>
        <w:t>Strongly positive for GLW long-term; confirms GPU demand is "parabolic" and hyperscaler CapEx is on track to exceed $1T in 2027.</w:t>
      </w:r>
    </w:p>
    <w:p>
      <w:pPr>
        <w:pStyle w:val="ListBullet"/>
        <w:ind w:left="360" w:hanging="360"/>
      </w:pPr>
      <w:r>
        <w:rPr>
          <w:rFonts w:ascii="Calibri" w:hAnsi="Calibri"/>
          <w:color w:val="525866"/>
          <w:sz w:val="22"/>
        </w:rPr>
        <w:t>Data Center revenue of $75B (+92% YoY, +21% QoQ). "Demand has gone parabolic" due to the arrival of agentic AI. Analysts forecasting AI infrastructure spending to reach $3–$4T annually by end of decade — the macro backdrop for Corning’s optical capacity expansion.</w:t>
      </w:r>
    </w:p>
    <w:p>
      <w:pPr>
        <w:pStyle w:val="ListBullet"/>
        <w:ind w:left="360" w:hanging="360"/>
      </w:pPr>
      <w:r>
        <w:rPr>
          <w:rFonts w:ascii="Calibri" w:hAnsi="Calibri"/>
          <w:color w:val="525866"/>
          <w:sz w:val="22"/>
        </w:rPr>
        <w:t>Data center networking revenue of $15B, nearly tripling YoY. Spectrum-X (Ethernet for AI) is "now larger than all Ethernet network peers combined" — more Nvidia GPUs deployed means more fiber content required per cluster.</w:t>
      </w:r>
    </w:p>
    <w:p>
      <w:pPr>
        <w:pStyle w:val="ListBullet"/>
        <w:ind w:left="360" w:hanging="360"/>
      </w:pPr>
      <w:r>
        <w:rPr>
          <w:rFonts w:ascii="Calibri" w:hAnsi="Calibri"/>
          <w:color w:val="525866"/>
          <w:sz w:val="22"/>
        </w:rPr>
        <w:t>Vera Rubin Ultra configuration (up to 576 GPUs, rack-to-rack optical connections) is on track for production shipments in H2 2026 — directly supports Corning’s scale-up optical thesis and the Photonics MAP timeline.</w:t>
      </w:r>
    </w:p>
    <w:p>
      <w:pPr>
        <w:pStyle w:val="ListBullet"/>
        <w:ind w:left="360" w:hanging="360"/>
      </w:pPr>
      <w:r>
        <w:rPr>
          <w:rFonts w:ascii="Calibri" w:hAnsi="Calibri"/>
          <w:color w:val="525866"/>
          <w:sz w:val="22"/>
        </w:rPr>
        <w:t>Hyperscaler CapEx expected to exceed $1T in 2027 — Nvidia has "full confidence in $1T in Blackwell and Rubin revenue from 2025 through calendar 2027." This is the demand backdrop underpinning all of Corning’s hyperscale agreements.</w:t>
      </w:r>
    </w:p>
    <w:p>
      <w:pPr>
        <w:pStyle w:val="Heading3"/>
      </w:pPr>
      <w:r>
        <w:rPr>
          <w:rFonts w:ascii="Calibri" w:hAnsi="Calibri"/>
          <w:b/>
          <w:color w:val="3B4259"/>
          <w:sz w:val="24"/>
        </w:rPr>
        <w:t>Meta Platforms (META) — Q1 2026 Earnings (April 29, 2026)</w:t>
      </w:r>
    </w:p>
    <w:p>
      <w:r>
        <w:rPr>
          <w:rFonts w:ascii="Calibri" w:hAnsi="Calibri"/>
          <w:b/>
          <w:color w:val="525866"/>
          <w:sz w:val="22"/>
        </w:rPr>
        <w:t xml:space="preserve">Read-Through: </w:t>
      </w:r>
      <w:r>
        <w:rPr>
          <w:rFonts w:ascii="Calibri" w:hAnsi="Calibri"/>
          <w:color w:val="525866"/>
          <w:sz w:val="22"/>
        </w:rPr>
        <w:t>Positive for GLW; Meta is Corning’s anchor hyperscale customer and is raising CapEx again.</w:t>
      </w:r>
    </w:p>
    <w:p>
      <w:pPr>
        <w:pStyle w:val="ListBullet"/>
        <w:ind w:left="360" w:hanging="360"/>
      </w:pPr>
      <w:r>
        <w:rPr>
          <w:rFonts w:ascii="Calibri" w:hAnsi="Calibri"/>
          <w:color w:val="525866"/>
          <w:sz w:val="22"/>
        </w:rPr>
        <w:t>2026 CapEx guidance raised to $125B–$145B (from $115B–$135B), driven by higher component costs and additional data center capacity. Meta is "substantially expanding our own data center footprint and striking deals throughout the supply chain to secure necessary components for future capacity" — directly validates the Corning-Meta long-term agreement structure.</w:t>
      </w:r>
    </w:p>
    <w:p>
      <w:pPr>
        <w:pStyle w:val="ListBullet"/>
        <w:ind w:left="360" w:hanging="360"/>
      </w:pPr>
      <w:r>
        <w:rPr>
          <w:rFonts w:ascii="Calibri" w:hAnsi="Calibri"/>
          <w:color w:val="525866"/>
          <w:sz w:val="22"/>
        </w:rPr>
        <w:t>"We have continued to underestimate our compute needs" — implies continued upward pressure on CapEx and optical infrastructure demand in future quarters.</w:t>
      </w:r>
    </w:p>
    <w:p>
      <w:pPr>
        <w:pStyle w:val="ListBullet"/>
        <w:ind w:left="360" w:hanging="360"/>
      </w:pPr>
      <w:r>
        <w:rPr>
          <w:rFonts w:ascii="Calibri" w:hAnsi="Calibri"/>
          <w:color w:val="525866"/>
          <w:sz w:val="22"/>
        </w:rPr>
        <w:t>AI glasses (Ray-Ban Meta) daily users tripling YoY, described as "one of the fastest-growing categories of consumer electronics ever" — a modest positive read-through for Corning’s Gorilla Glass and specialty glass businesses.</w:t>
      </w:r>
    </w:p>
    <w:p>
      <w:pPr>
        <w:pStyle w:val="Heading3"/>
      </w:pPr>
      <w:r>
        <w:rPr>
          <w:rFonts w:ascii="Calibri" w:hAnsi="Calibri"/>
          <w:b/>
          <w:color w:val="3B4259"/>
          <w:sz w:val="24"/>
        </w:rPr>
        <w:t>TE Connectivity (TEL) — Q3 FY2026 Earnings (July 22, 2026)</w:t>
      </w:r>
    </w:p>
    <w:p>
      <w:r>
        <w:rPr>
          <w:rFonts w:ascii="Calibri" w:hAnsi="Calibri"/>
          <w:b/>
          <w:color w:val="525866"/>
          <w:sz w:val="22"/>
        </w:rPr>
        <w:t xml:space="preserve">Read-Through: </w:t>
      </w:r>
      <w:r>
        <w:rPr>
          <w:rFonts w:ascii="Calibri" w:hAnsi="Calibri"/>
          <w:color w:val="525866"/>
          <w:sz w:val="22"/>
        </w:rPr>
        <w:t>Positive for GLW; most recent peer print (July 22) confirms AI data center demand remains robust heading into GLW’s Q2 report.</w:t>
      </w:r>
    </w:p>
    <w:p>
      <w:pPr>
        <w:pStyle w:val="ListBullet"/>
        <w:ind w:left="360" w:hanging="360"/>
      </w:pPr>
      <w:r>
        <w:rPr>
          <w:rFonts w:ascii="Calibri" w:hAnsi="Calibri"/>
          <w:color w:val="525866"/>
          <w:sz w:val="22"/>
        </w:rPr>
        <w:t>TE Connectivity reported Q3 FY2026 results on July 22, 2026 — the most recent peer print before GLW’s Q2 earnings. As a major interconnect supplier to data centers and AI infrastructure, TE’s results provide the freshest read on demand conditions in the quarter GLW is about to report.</w:t>
      </w:r>
    </w:p>
    <w:p>
      <w:pPr>
        <w:pStyle w:val="ListBullet"/>
        <w:ind w:left="360" w:hanging="360"/>
      </w:pPr>
      <w:r>
        <w:rPr>
          <w:rFonts w:ascii="Calibri" w:hAnsi="Calibri"/>
          <w:color w:val="525866"/>
          <w:sz w:val="22"/>
        </w:rPr>
        <w:t>TE’s data center and AI-related interconnect business has been a consistent growth driver, with hyperscaler demand remaining strong through the June quarter — consistent with the demand environment described by Corning’s management at the May 6 Investor Day.</w:t>
      </w:r>
    </w:p>
    <w:p>
      <w:r>
        <w:rPr>
          <w:rFonts w:ascii="Calibri" w:hAnsi="Calibri"/>
          <w:b/>
          <w:color w:val="525866"/>
          <w:sz w:val="22"/>
        </w:rPr>
        <w:t xml:space="preserve">Overall Peer Read-Through Summary: </w:t>
      </w:r>
      <w:r>
        <w:rPr>
          <w:rFonts w:ascii="Calibri" w:hAnsi="Calibri"/>
          <w:color w:val="525866"/>
          <w:sz w:val="22"/>
        </w:rPr>
        <w:t>The peer commentary since GLW’s Q1 print is uniformly constructive for the optical demand environment. The key themes are: (1) AI data center CapEx is accelerating, not decelerating; (2) optical supply is the constraint, not demand — supporting Corning’s pricing power; (3) scale-up optical (CPO/NPO) is on track for 2027–2028 ramp, validating the Photonics MAP; and (4) hyperscaler LTAs with prepayments are becoming standard, validating Corning’s deal structure. The Amazon deal read-through from Lumentum is the most direct GLW-specific signal. No peer commentary suggests demand weakness or inventory digestion in the optical fiber/connectivity space.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most notable signal is CEO Wendell Weeks’ open-market sale of 100,000 shares on June 9 — the day after the Amazon deal announcement and near the stock’s all-time high — which is a discretionary sale (no 10b5-1 plan flagged). A cluster of other executives also sold in early May around the Investor Day. No open-market buys were recorded. The selling pattern is consistent with insiders monetizing at elevated prices, but the absence of a 10b5-1 plan on the CEO sale is worth flagging.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Wendell P. Weeks</w:t>
            </w:r>
          </w:p>
        </w:tc>
        <w:tc>
          <w:tcPr>
            <w:tcW w:type="dxa" w:w="1440"/>
          </w:tcPr>
          <w:p>
            <w:r>
              <w:rPr>
                <w:rFonts w:ascii="Calibri" w:hAnsi="Calibri"/>
                <w:sz w:val="22"/>
              </w:rPr>
              <w:t>Chairman, CEO &amp; President</w:t>
            </w:r>
          </w:p>
        </w:tc>
        <w:tc>
          <w:tcPr>
            <w:tcW w:type="dxa" w:w="1440"/>
          </w:tcPr>
          <w:p>
            <w:r>
              <w:rPr>
                <w:rFonts w:ascii="Calibri" w:hAnsi="Calibri"/>
                <w:sz w:val="22"/>
              </w:rPr>
              <w:t>Open Market Sale (S)</w:t>
            </w:r>
          </w:p>
        </w:tc>
        <w:tc>
          <w:tcPr>
            <w:tcW w:type="dxa" w:w="1440"/>
          </w:tcPr>
          <w:p>
            <w:r>
              <w:rPr>
                <w:rFonts w:ascii="Calibri" w:hAnsi="Calibri"/>
                <w:sz w:val="22"/>
              </w:rPr>
              <w:t>100,000</w:t>
            </w:r>
          </w:p>
        </w:tc>
        <w:tc>
          <w:tcPr>
            <w:tcW w:type="dxa" w:w="1440"/>
          </w:tcPr>
          <w:p>
            <w:r>
              <w:rPr>
                <w:rFonts w:ascii="Calibri" w:hAnsi="Calibri"/>
                <w:sz w:val="22"/>
              </w:rPr>
              <w:t>Jun 9, 2026</w:t>
            </w:r>
          </w:p>
        </w:tc>
        <w:tc>
          <w:tcPr>
            <w:tcW w:type="dxa" w:w="1440"/>
          </w:tcPr>
          <w:p>
            <w:r>
              <w:rPr>
                <w:rFonts w:ascii="Calibri" w:hAnsi="Calibri"/>
                <w:sz w:val="22"/>
              </w:rPr>
              <w:t>Discretionary sale; no 10b5-1 plan flagged. Sold via option exercise (M code) and open-market sale (S code) on same day. Stock near all-time high (~$174). Notable given timing one day after Amazon deal announcement.</w:t>
            </w:r>
          </w:p>
        </w:tc>
      </w:tr>
      <w:tr>
        <w:tc>
          <w:tcPr>
            <w:tcW w:type="dxa" w:w="1440"/>
          </w:tcPr>
          <w:p>
            <w:r>
              <w:rPr>
                <w:rFonts w:ascii="Calibri" w:hAnsi="Calibri"/>
                <w:sz w:val="22"/>
              </w:rPr>
              <w:t>Avery H. Nelson III</w:t>
            </w:r>
          </w:p>
        </w:tc>
        <w:tc>
          <w:tcPr>
            <w:tcW w:type="dxa" w:w="1440"/>
          </w:tcPr>
          <w:p>
            <w:r>
              <w:rPr>
                <w:rFonts w:ascii="Calibri" w:hAnsi="Calibri"/>
                <w:sz w:val="22"/>
              </w:rPr>
              <w:t>EVP &amp; COO</w:t>
            </w:r>
          </w:p>
        </w:tc>
        <w:tc>
          <w:tcPr>
            <w:tcW w:type="dxa" w:w="1440"/>
          </w:tcPr>
          <w:p>
            <w:r>
              <w:rPr>
                <w:rFonts w:ascii="Calibri" w:hAnsi="Calibri"/>
                <w:sz w:val="22"/>
              </w:rPr>
              <w:t>Open Market Sale (S)</w:t>
            </w:r>
          </w:p>
        </w:tc>
        <w:tc>
          <w:tcPr>
            <w:tcW w:type="dxa" w:w="1440"/>
          </w:tcPr>
          <w:p>
            <w:r>
              <w:rPr>
                <w:rFonts w:ascii="Calibri" w:hAnsi="Calibri"/>
                <w:sz w:val="22"/>
              </w:rPr>
              <w:t>20,000</w:t>
            </w:r>
          </w:p>
        </w:tc>
        <w:tc>
          <w:tcPr>
            <w:tcW w:type="dxa" w:w="1440"/>
          </w:tcPr>
          <w:p>
            <w:r>
              <w:rPr>
                <w:rFonts w:ascii="Calibri" w:hAnsi="Calibri"/>
                <w:sz w:val="22"/>
              </w:rPr>
              <w:t>May 15, 2026</w:t>
            </w:r>
          </w:p>
        </w:tc>
        <w:tc>
          <w:tcPr>
            <w:tcW w:type="dxa" w:w="1440"/>
          </w:tcPr>
          <w:p>
            <w:r>
              <w:rPr>
                <w:rFonts w:ascii="Calibri" w:hAnsi="Calibri"/>
                <w:sz w:val="22"/>
              </w:rPr>
              <w:t>Discretionary sale; no 10b5-1 plan flagged. Sold near post-Investor Day highs (~$192).</w:t>
            </w:r>
          </w:p>
        </w:tc>
      </w:tr>
      <w:tr>
        <w:tc>
          <w:tcPr>
            <w:tcW w:type="dxa" w:w="1440"/>
          </w:tcPr>
          <w:p>
            <w:r>
              <w:rPr>
                <w:rFonts w:ascii="Calibri" w:hAnsi="Calibri"/>
                <w:sz w:val="22"/>
              </w:rPr>
              <w:t>Soumya Seetharam</w:t>
            </w:r>
          </w:p>
        </w:tc>
        <w:tc>
          <w:tcPr>
            <w:tcW w:type="dxa" w:w="1440"/>
          </w:tcPr>
          <w:p>
            <w:r>
              <w:rPr>
                <w:rFonts w:ascii="Calibri" w:hAnsi="Calibri"/>
                <w:sz w:val="22"/>
              </w:rPr>
              <w:t>SVP &amp; CDIO</w:t>
            </w:r>
          </w:p>
        </w:tc>
        <w:tc>
          <w:tcPr>
            <w:tcW w:type="dxa" w:w="1440"/>
          </w:tcPr>
          <w:p>
            <w:r>
              <w:rPr>
                <w:rFonts w:ascii="Calibri" w:hAnsi="Calibri"/>
                <w:sz w:val="22"/>
              </w:rPr>
              <w:t>Open Market Sale (S)</w:t>
            </w:r>
          </w:p>
        </w:tc>
        <w:tc>
          <w:tcPr>
            <w:tcW w:type="dxa" w:w="1440"/>
          </w:tcPr>
          <w:p>
            <w:r>
              <w:rPr>
                <w:rFonts w:ascii="Calibri" w:hAnsi="Calibri"/>
                <w:sz w:val="22"/>
              </w:rPr>
              <w:t>20,000</w:t>
            </w:r>
          </w:p>
        </w:tc>
        <w:tc>
          <w:tcPr>
            <w:tcW w:type="dxa" w:w="1440"/>
          </w:tcPr>
          <w:p>
            <w:r>
              <w:rPr>
                <w:rFonts w:ascii="Calibri" w:hAnsi="Calibri"/>
                <w:sz w:val="22"/>
              </w:rPr>
              <w:t>May 11, 2026</w:t>
            </w:r>
          </w:p>
        </w:tc>
        <w:tc>
          <w:tcPr>
            <w:tcW w:type="dxa" w:w="1440"/>
          </w:tcPr>
          <w:p>
            <w:r>
              <w:rPr>
                <w:rFonts w:ascii="Calibri" w:hAnsi="Calibri"/>
                <w:sz w:val="22"/>
              </w:rPr>
              <w:t>Discretionary sale; no 10b5-1 plan flagged. Sold at ~$207 (near post-Investor Day peak).</w:t>
            </w:r>
          </w:p>
        </w:tc>
      </w:tr>
      <w:tr>
        <w:tc>
          <w:tcPr>
            <w:tcW w:type="dxa" w:w="1440"/>
          </w:tcPr>
          <w:p>
            <w:r>
              <w:rPr>
                <w:rFonts w:ascii="Calibri" w:hAnsi="Calibri"/>
                <w:sz w:val="22"/>
              </w:rPr>
              <w:t>Edward A. Schlesinger</w:t>
            </w:r>
          </w:p>
        </w:tc>
        <w:tc>
          <w:tcPr>
            <w:tcW w:type="dxa" w:w="1440"/>
          </w:tcPr>
          <w:p>
            <w:r>
              <w:rPr>
                <w:rFonts w:ascii="Calibri" w:hAnsi="Calibri"/>
                <w:sz w:val="22"/>
              </w:rPr>
              <w:t>EVP &amp; CFO</w:t>
            </w:r>
          </w:p>
        </w:tc>
        <w:tc>
          <w:tcPr>
            <w:tcW w:type="dxa" w:w="1440"/>
          </w:tcPr>
          <w:p>
            <w:r>
              <w:rPr>
                <w:rFonts w:ascii="Calibri" w:hAnsi="Calibri"/>
                <w:sz w:val="22"/>
              </w:rPr>
              <w:t>Open Market Sale (S)</w:t>
            </w:r>
          </w:p>
        </w:tc>
        <w:tc>
          <w:tcPr>
            <w:tcW w:type="dxa" w:w="1440"/>
          </w:tcPr>
          <w:p>
            <w:r>
              <w:rPr>
                <w:rFonts w:ascii="Calibri" w:hAnsi="Calibri"/>
                <w:sz w:val="22"/>
              </w:rPr>
              <w:t>22,562</w:t>
            </w:r>
          </w:p>
        </w:tc>
        <w:tc>
          <w:tcPr>
            <w:tcW w:type="dxa" w:w="1440"/>
          </w:tcPr>
          <w:p>
            <w:r>
              <w:rPr>
                <w:rFonts w:ascii="Calibri" w:hAnsi="Calibri"/>
                <w:sz w:val="22"/>
              </w:rPr>
              <w:t>May 7, 2026</w:t>
            </w:r>
          </w:p>
        </w:tc>
        <w:tc>
          <w:tcPr>
            <w:tcW w:type="dxa" w:w="1440"/>
          </w:tcPr>
          <w:p>
            <w:r>
              <w:rPr>
                <w:rFonts w:ascii="Calibri" w:hAnsi="Calibri"/>
                <w:sz w:val="22"/>
              </w:rPr>
              <w:t>Discretionary sale; no 10b5-1 plan flagged. CFO sold one day after Investor Day at ~$182.</w:t>
            </w:r>
          </w:p>
        </w:tc>
      </w:tr>
      <w:tr>
        <w:tc>
          <w:tcPr>
            <w:tcW w:type="dxa" w:w="1440"/>
          </w:tcPr>
          <w:p>
            <w:r>
              <w:rPr>
                <w:rFonts w:ascii="Calibri" w:hAnsi="Calibri"/>
                <w:sz w:val="22"/>
              </w:rPr>
              <w:t>John Z. Zhang</w:t>
            </w:r>
          </w:p>
        </w:tc>
        <w:tc>
          <w:tcPr>
            <w:tcW w:type="dxa" w:w="1440"/>
          </w:tcPr>
          <w:p>
            <w:r>
              <w:rPr>
                <w:rFonts w:ascii="Calibri" w:hAnsi="Calibri"/>
                <w:sz w:val="22"/>
              </w:rPr>
              <w:t>EVP &amp; CCDO</w:t>
            </w:r>
          </w:p>
        </w:tc>
        <w:tc>
          <w:tcPr>
            <w:tcW w:type="dxa" w:w="1440"/>
          </w:tcPr>
          <w:p>
            <w:r>
              <w:rPr>
                <w:rFonts w:ascii="Calibri" w:hAnsi="Calibri"/>
                <w:sz w:val="22"/>
              </w:rPr>
              <w:t>Open Market Sale (S)</w:t>
            </w:r>
          </w:p>
        </w:tc>
        <w:tc>
          <w:tcPr>
            <w:tcW w:type="dxa" w:w="1440"/>
          </w:tcPr>
          <w:p>
            <w:r>
              <w:rPr>
                <w:rFonts w:ascii="Calibri" w:hAnsi="Calibri"/>
                <w:sz w:val="22"/>
              </w:rPr>
              <w:t>25,000 (combined)</w:t>
            </w:r>
          </w:p>
        </w:tc>
        <w:tc>
          <w:tcPr>
            <w:tcW w:type="dxa" w:w="1440"/>
          </w:tcPr>
          <w:p>
            <w:r>
              <w:rPr>
                <w:rFonts w:ascii="Calibri" w:hAnsi="Calibri"/>
                <w:sz w:val="22"/>
              </w:rPr>
              <w:t>May 6 &amp; May 11, 2026</w:t>
            </w:r>
          </w:p>
        </w:tc>
        <w:tc>
          <w:tcPr>
            <w:tcW w:type="dxa" w:w="1440"/>
          </w:tcPr>
          <w:p>
            <w:r>
              <w:rPr>
                <w:rFonts w:ascii="Calibri" w:hAnsi="Calibri"/>
                <w:sz w:val="22"/>
              </w:rPr>
              <w:t>Two separate sales on Investor Day (15,000 shares) and May 11 (10,000 shares). Discretionary; no 10b5-1 plan flagged.</w:t>
            </w:r>
          </w:p>
        </w:tc>
      </w:tr>
      <w:tr>
        <w:tc>
          <w:tcPr>
            <w:tcW w:type="dxa" w:w="1440"/>
          </w:tcPr>
          <w:p>
            <w:r>
              <w:rPr>
                <w:rFonts w:ascii="Calibri" w:hAnsi="Calibri"/>
                <w:sz w:val="22"/>
              </w:rPr>
              <w:t>Lewis A. Steverson</w:t>
            </w:r>
          </w:p>
        </w:tc>
        <w:tc>
          <w:tcPr>
            <w:tcW w:type="dxa" w:w="1440"/>
          </w:tcPr>
          <w:p>
            <w:r>
              <w:rPr>
                <w:rFonts w:ascii="Calibri" w:hAnsi="Calibri"/>
                <w:sz w:val="22"/>
              </w:rPr>
              <w:t>Vice Chairman, EVP &amp; CLAO</w:t>
            </w:r>
          </w:p>
        </w:tc>
        <w:tc>
          <w:tcPr>
            <w:tcW w:type="dxa" w:w="1440"/>
          </w:tcPr>
          <w:p>
            <w:r>
              <w:rPr>
                <w:rFonts w:ascii="Calibri" w:hAnsi="Calibri"/>
                <w:sz w:val="22"/>
              </w:rPr>
              <w:t>Open Market Sale (S)</w:t>
            </w:r>
          </w:p>
        </w:tc>
        <w:tc>
          <w:tcPr>
            <w:tcW w:type="dxa" w:w="1440"/>
          </w:tcPr>
          <w:p>
            <w:r>
              <w:rPr>
                <w:rFonts w:ascii="Calibri" w:hAnsi="Calibri"/>
                <w:sz w:val="22"/>
              </w:rPr>
              <w:t>27,750</w:t>
            </w:r>
          </w:p>
        </w:tc>
        <w:tc>
          <w:tcPr>
            <w:tcW w:type="dxa" w:w="1440"/>
          </w:tcPr>
          <w:p>
            <w:r>
              <w:rPr>
                <w:rFonts w:ascii="Calibri" w:hAnsi="Calibri"/>
                <w:sz w:val="22"/>
              </w:rPr>
              <w:t>May 8, 2026</w:t>
            </w:r>
          </w:p>
        </w:tc>
        <w:tc>
          <w:tcPr>
            <w:tcW w:type="dxa" w:w="1440"/>
          </w:tcPr>
          <w:p>
            <w:r>
              <w:rPr>
                <w:rFonts w:ascii="Calibri" w:hAnsi="Calibri"/>
                <w:sz w:val="22"/>
              </w:rPr>
              <w:t>Discretionary sale; no 10b5-1 plan flagged. Sold at ~$187.</w:t>
            </w:r>
          </w:p>
        </w:tc>
      </w:tr>
      <w:tr>
        <w:tc>
          <w:tcPr>
            <w:tcW w:type="dxa" w:w="1440"/>
          </w:tcPr>
          <w:p>
            <w:r>
              <w:rPr>
                <w:rFonts w:ascii="Calibri" w:hAnsi="Calibri"/>
                <w:sz w:val="22"/>
              </w:rPr>
              <w:t>Stefan Becker</w:t>
            </w:r>
          </w:p>
        </w:tc>
        <w:tc>
          <w:tcPr>
            <w:tcW w:type="dxa" w:w="1440"/>
          </w:tcPr>
          <w:p>
            <w:r>
              <w:rPr>
                <w:rFonts w:ascii="Calibri" w:hAnsi="Calibri"/>
                <w:sz w:val="22"/>
              </w:rPr>
              <w:t>SVP, Finance &amp; Corp Controller</w:t>
            </w:r>
          </w:p>
        </w:tc>
        <w:tc>
          <w:tcPr>
            <w:tcW w:type="dxa" w:w="1440"/>
          </w:tcPr>
          <w:p>
            <w:r>
              <w:rPr>
                <w:rFonts w:ascii="Calibri" w:hAnsi="Calibri"/>
                <w:sz w:val="22"/>
              </w:rPr>
              <w:t>Open Market Sale (S)</w:t>
            </w:r>
          </w:p>
        </w:tc>
        <w:tc>
          <w:tcPr>
            <w:tcW w:type="dxa" w:w="1440"/>
          </w:tcPr>
          <w:p>
            <w:r>
              <w:rPr>
                <w:rFonts w:ascii="Calibri" w:hAnsi="Calibri"/>
                <w:sz w:val="22"/>
              </w:rPr>
              <w:t>21,000</w:t>
            </w:r>
          </w:p>
        </w:tc>
        <w:tc>
          <w:tcPr>
            <w:tcW w:type="dxa" w:w="1440"/>
          </w:tcPr>
          <w:p>
            <w:r>
              <w:rPr>
                <w:rFonts w:ascii="Calibri" w:hAnsi="Calibri"/>
                <w:sz w:val="22"/>
              </w:rPr>
              <w:t>May 8, 2026</w:t>
            </w:r>
          </w:p>
        </w:tc>
        <w:tc>
          <w:tcPr>
            <w:tcW w:type="dxa" w:w="1440"/>
          </w:tcPr>
          <w:p>
            <w:r>
              <w:rPr>
                <w:rFonts w:ascii="Calibri" w:hAnsi="Calibri"/>
                <w:sz w:val="22"/>
              </w:rPr>
              <w:t>Discretionary sale; no 10b5-1 plan flagged. Also had tax-withholding (F code) sales on Apr 29 related to RSU vesting.</w:t>
            </w:r>
          </w:p>
        </w:tc>
      </w:tr>
      <w:tr>
        <w:tc>
          <w:tcPr>
            <w:tcW w:type="dxa" w:w="1440"/>
          </w:tcPr>
          <w:p>
            <w:r>
              <w:rPr>
                <w:rFonts w:ascii="Calibri" w:hAnsi="Calibri"/>
                <w:sz w:val="22"/>
              </w:rPr>
              <w:t>Ronald L. Verkleeren</w:t>
            </w:r>
          </w:p>
        </w:tc>
        <w:tc>
          <w:tcPr>
            <w:tcW w:type="dxa" w:w="1440"/>
          </w:tcPr>
          <w:p>
            <w:r>
              <w:rPr>
                <w:rFonts w:ascii="Calibri" w:hAnsi="Calibri"/>
                <w:sz w:val="22"/>
              </w:rPr>
              <w:t>SVP, Emerging Innovations Group</w:t>
            </w:r>
          </w:p>
        </w:tc>
        <w:tc>
          <w:tcPr>
            <w:tcW w:type="dxa" w:w="1440"/>
          </w:tcPr>
          <w:p>
            <w:r>
              <w:rPr>
                <w:rFonts w:ascii="Calibri" w:hAnsi="Calibri"/>
                <w:sz w:val="22"/>
              </w:rPr>
              <w:t>Open Market Sale (S)</w:t>
            </w:r>
          </w:p>
        </w:tc>
        <w:tc>
          <w:tcPr>
            <w:tcW w:type="dxa" w:w="1440"/>
          </w:tcPr>
          <w:p>
            <w:r>
              <w:rPr>
                <w:rFonts w:ascii="Calibri" w:hAnsi="Calibri"/>
                <w:sz w:val="22"/>
              </w:rPr>
              <w:t>10,000</w:t>
            </w:r>
          </w:p>
        </w:tc>
        <w:tc>
          <w:tcPr>
            <w:tcW w:type="dxa" w:w="1440"/>
          </w:tcPr>
          <w:p>
            <w:r>
              <w:rPr>
                <w:rFonts w:ascii="Calibri" w:hAnsi="Calibri"/>
                <w:sz w:val="22"/>
              </w:rPr>
              <w:t>May 13, 2026</w:t>
            </w:r>
          </w:p>
        </w:tc>
        <w:tc>
          <w:tcPr>
            <w:tcW w:type="dxa" w:w="1440"/>
          </w:tcPr>
          <w:p>
            <w:r>
              <w:rPr>
                <w:rFonts w:ascii="Calibri" w:hAnsi="Calibri"/>
                <w:sz w:val="22"/>
              </w:rPr>
              <w:t>Discretionary sale; no 10b5-1 plan flagged.</w:t>
            </w:r>
          </w:p>
        </w:tc>
      </w:tr>
      <w:tr>
        <w:tc>
          <w:tcPr>
            <w:tcW w:type="dxa" w:w="1440"/>
          </w:tcPr>
          <w:p>
            <w:r>
              <w:rPr>
                <w:rFonts w:ascii="Calibri" w:hAnsi="Calibri"/>
                <w:sz w:val="22"/>
              </w:rPr>
              <w:t>Michelle L. Gullo</w:t>
            </w:r>
          </w:p>
        </w:tc>
        <w:tc>
          <w:tcPr>
            <w:tcW w:type="dxa" w:w="1440"/>
          </w:tcPr>
          <w:p>
            <w:r>
              <w:rPr>
                <w:rFonts w:ascii="Calibri" w:hAnsi="Calibri"/>
                <w:sz w:val="22"/>
              </w:rPr>
              <w:t>SVP &amp; CHRO</w:t>
            </w:r>
          </w:p>
        </w:tc>
        <w:tc>
          <w:tcPr>
            <w:tcW w:type="dxa" w:w="1440"/>
          </w:tcPr>
          <w:p>
            <w:r>
              <w:rPr>
                <w:rFonts w:ascii="Calibri" w:hAnsi="Calibri"/>
                <w:sz w:val="22"/>
              </w:rPr>
              <w:t>Tax Withholding (F)</w:t>
            </w:r>
          </w:p>
        </w:tc>
        <w:tc>
          <w:tcPr>
            <w:tcW w:type="dxa" w:w="1440"/>
          </w:tcPr>
          <w:p>
            <w:r>
              <w:rPr>
                <w:rFonts w:ascii="Calibri" w:hAnsi="Calibri"/>
                <w:sz w:val="22"/>
              </w:rPr>
              <w:t>18,378 (Jun) + 5,315 (May)</w:t>
            </w:r>
          </w:p>
        </w:tc>
        <w:tc>
          <w:tcPr>
            <w:tcW w:type="dxa" w:w="1440"/>
          </w:tcPr>
          <w:p>
            <w:r>
              <w:rPr>
                <w:rFonts w:ascii="Calibri" w:hAnsi="Calibri"/>
                <w:sz w:val="22"/>
              </w:rPr>
              <w:t>Jun 22 &amp; May 8, 2026</w:t>
            </w:r>
          </w:p>
        </w:tc>
        <w:tc>
          <w:tcPr>
            <w:tcW w:type="dxa" w:w="1440"/>
          </w:tcPr>
          <w:p>
            <w:r>
              <w:rPr>
                <w:rFonts w:ascii="Calibri" w:hAnsi="Calibri"/>
                <w:sz w:val="22"/>
              </w:rPr>
              <w:t>Tax withholding on RSU vesting; obligation-driven, not discretionary.</w:t>
            </w:r>
          </w:p>
        </w:tc>
      </w:tr>
      <w:tr>
        <w:tc>
          <w:tcPr>
            <w:tcW w:type="dxa" w:w="1440"/>
          </w:tcPr>
          <w:p>
            <w:r>
              <w:rPr>
                <w:rFonts w:ascii="Calibri" w:hAnsi="Calibri"/>
                <w:sz w:val="22"/>
              </w:rPr>
              <w:t>Michael Paul O’Day</w:t>
            </w:r>
          </w:p>
        </w:tc>
        <w:tc>
          <w:tcPr>
            <w:tcW w:type="dxa" w:w="1440"/>
          </w:tcPr>
          <w:p>
            <w:r>
              <w:rPr>
                <w:rFonts w:ascii="Calibri" w:hAnsi="Calibri"/>
                <w:sz w:val="22"/>
              </w:rPr>
              <w:t>SVP &amp; GM, Optical Comm.</w:t>
            </w:r>
          </w:p>
        </w:tc>
        <w:tc>
          <w:tcPr>
            <w:tcW w:type="dxa" w:w="1440"/>
          </w:tcPr>
          <w:p>
            <w:r>
              <w:rPr>
                <w:rFonts w:ascii="Calibri" w:hAnsi="Calibri"/>
                <w:sz w:val="22"/>
              </w:rPr>
              <w:t>Tax Withholding (F)</w:t>
            </w:r>
          </w:p>
        </w:tc>
        <w:tc>
          <w:tcPr>
            <w:tcW w:type="dxa" w:w="1440"/>
          </w:tcPr>
          <w:p>
            <w:r>
              <w:rPr>
                <w:rFonts w:ascii="Calibri" w:hAnsi="Calibri"/>
                <w:sz w:val="22"/>
              </w:rPr>
              <w:t>3,496</w:t>
            </w:r>
          </w:p>
        </w:tc>
        <w:tc>
          <w:tcPr>
            <w:tcW w:type="dxa" w:w="1440"/>
          </w:tcPr>
          <w:p>
            <w:r>
              <w:rPr>
                <w:rFonts w:ascii="Calibri" w:hAnsi="Calibri"/>
                <w:sz w:val="22"/>
              </w:rPr>
              <w:t>Apr 28, 2026</w:t>
            </w:r>
          </w:p>
        </w:tc>
        <w:tc>
          <w:tcPr>
            <w:tcW w:type="dxa" w:w="1440"/>
          </w:tcPr>
          <w:p>
            <w:r>
              <w:rPr>
                <w:rFonts w:ascii="Calibri" w:hAnsi="Calibri"/>
                <w:sz w:val="22"/>
              </w:rPr>
              <w:t>Tax withholding on RSU vesting on earnings day; obligation-driven.</w:t>
            </w:r>
          </w:p>
        </w:tc>
      </w:tr>
    </w:tbl>
    <w:p>
      <w:r>
        <w:rPr>
          <w:rFonts w:ascii="Calibri" w:hAnsi="Calibri"/>
          <w:i/>
          <w:color w:val="525866"/>
          <w:sz w:val="22"/>
        </w:rPr>
        <w:t xml:space="preserve">Source: Insider Transaction Data (SEC Form 4 filings). </w:t>
      </w:r>
      <w:r>
        <w:rPr>
          <w:rFonts w:ascii="Calibri" w:hAnsi="Calibri"/>
          <w:color w:val="525866"/>
          <w:sz w:val="22"/>
        </w:rPr>
        <w:t>Open-market sales (S code) are discretionary unless noted as 10b5-1 planned. Tax-withholding transactions (F code) are obligation-driven and not indicative of sentiment. The cluster of discretionary sales by the CEO, CFO, COO, and multiple SVPs in the May 6–15 window — all at prices between $182–$208 — is consistent with insiders monetizing at elevated post-Investor Day prices. The CEO’s June 9 sale at ~$174 (one day after the Amazon deal) is the most notable single transaction given its size (100,000 shares) and timing. No open-market buys were recorded in the period.</w:t>
      </w:r>
    </w:p>
    <w:p>
      <w:r>
        <w:rPr>
          <w:rFonts w:ascii="Calibri" w:hAnsi="Calibri"/>
          <w:color w:val="525866"/>
          <w:sz w:val="22"/>
        </w:rPr>
        <w:t>Director RSU grants (A code) to Burns, Cummings, Ferguson, and Martin on June 30 are routine annual equity compensation and carry no sentiment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