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Corning Incorporated (GLW)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Corning Incorporated</w:t>
            </w:r>
          </w:p>
        </w:tc>
      </w:tr>
      <w:tr>
        <w:tc>
          <w:tcPr>
            <w:tcW w:type="dxa" w:w="4320"/>
          </w:tcPr>
          <w:p>
            <w:r>
              <w:rPr>
                <w:rFonts w:ascii="Calibri" w:hAnsi="Calibri"/>
                <w:b/>
                <w:sz w:val="22"/>
              </w:rPr>
              <w:t>Ticker</w:t>
            </w:r>
          </w:p>
        </w:tc>
        <w:tc>
          <w:tcPr>
            <w:tcW w:type="dxa" w:w="4320"/>
          </w:tcPr>
          <w:p>
            <w:r>
              <w:rPr>
                <w:rFonts w:ascii="Calibri" w:hAnsi="Calibri"/>
                <w:sz w:val="22"/>
              </w:rPr>
              <w:t>GLW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Pre-Market (8:30 AM ET call)</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mixed-to-cautious — consensus is a manageable bar on revenue (~$4.65B) but the solar wafer shutdown creates a known ~$0.07 EPS drag, and the stock has already de-rated sharply from its June peak, meaning the market is pricing in execution risk rather than a clean beat.</w:t>
      </w:r>
    </w:p>
    <w:p>
      <w:r>
        <w:rPr>
          <w:rFonts w:ascii="Calibri" w:hAnsi="Calibri"/>
          <w:color w:val="525866"/>
          <w:sz w:val="22"/>
        </w:rPr>
        <w:t xml:space="preserve">Heading into Q2 2026, the bar for Corning is set at roughly $4.65B in core revenue (+14.7% YoY) and $0.73–$0.77 core EPS (+~25% YoY), both of which management guided explicitly on the April 28 Q1 call. </w:t>
      </w:r>
      <w:r>
        <w:rPr>
          <w:rFonts w:ascii="Calibri" w:hAnsi="Calibri"/>
          <w:b/>
          <w:color w:val="525866"/>
          <w:sz w:val="22"/>
        </w:rPr>
        <w:t>The single biggest known headwind is the extended maintenance shutdown at the solar wafer facility, which management quantified at ~$30M of incremental Q2 expense vs. Q1 and an aggregate ~$0.07 EPS impact</w:t>
      </w:r>
      <w:r>
        <w:rPr>
          <w:rFonts w:ascii="Calibri" w:hAnsi="Calibri"/>
          <w:color w:val="525866"/>
          <w:sz w:val="22"/>
        </w:rPr>
        <w:t xml:space="preserve"> — this is already embedded in guidance, so the question is whether execution came in at, above, or below that estimate. On the positive side, </w:t>
      </w:r>
      <w:r>
        <w:rPr>
          <w:rFonts w:ascii="Calibri" w:hAnsi="Calibri"/>
          <w:b/>
          <w:color w:val="525866"/>
          <w:sz w:val="22"/>
        </w:rPr>
        <w:t>Optical Communications demand remains the dominant growth engine</w:t>
      </w:r>
      <w:r>
        <w:rPr>
          <w:rFonts w:ascii="Calibri" w:hAnsi="Calibri"/>
          <w:color w:val="525866"/>
          <w:sz w:val="22"/>
        </w:rPr>
        <w:t xml:space="preserve">, with Q1 up 36% YoY and consensus modeling ~$2.0B for Q2 (+27% YoY); any upside here — driven by hyperscale order pull-forward or enterprise network acceleration — is the most likely source of a beat. Estimate revisions have been essentially flat since the Q1 print (2Q26 EPS consensus ~$0.76 vs. $0.76 at the May 5 baseline), suggesting the Street has largely digested guidance without adding cushion or risk. </w:t>
      </w:r>
      <w:r>
        <w:rPr>
          <w:rFonts w:ascii="Calibri" w:hAnsi="Calibri"/>
          <w:b/>
          <w:color w:val="525866"/>
          <w:sz w:val="22"/>
        </w:rPr>
        <w:t>The stock has been a dramatic underperformer since its June 30 peak of ~$255, falling to ~$143 by July 28 (-44%)</w:t>
      </w:r>
      <w:r>
        <w:rPr>
          <w:rFonts w:ascii="Calibri" w:hAnsi="Calibri"/>
          <w:color w:val="525866"/>
          <w:sz w:val="22"/>
        </w:rPr>
        <w:t xml:space="preserve"> — a move that far exceeds the operational miss implied by the solar drag, suggesting sentiment and multiple compression are the dominant forces. The wildcard is whether management provides any update on the solar wafer ramp trajectory post-shutdown and whether the Springboard 2030 plan targets ($27B high-confidence / $35B internal) remain intact, as any softening of that language would be the most negative surprise possible.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Revenue is the bigger swing factor — Optical Communications at ~$2.0B consensus is a high bar given the 36% Q1 comp, while the EPS range ($0.73–$0.77) is tightly guided and the solar drag is already baked in. A beat on Optical revenue would be the clearest positive signal.</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Revenue (Net Sales – Operating)</w:t>
            </w:r>
          </w:p>
        </w:tc>
        <w:tc>
          <w:tcPr>
            <w:tcW w:type="dxa" w:w="1234"/>
          </w:tcPr>
          <w:p>
            <w:r>
              <w:rPr>
                <w:rFonts w:ascii="Calibri" w:hAnsi="Calibri"/>
                <w:sz w:val="22"/>
              </w:rPr>
              <w:t>$4.345B</w:t>
            </w:r>
          </w:p>
        </w:tc>
        <w:tc>
          <w:tcPr>
            <w:tcW w:type="dxa" w:w="1234"/>
          </w:tcPr>
          <w:p>
            <w:r>
              <w:rPr>
                <w:rFonts w:ascii="Calibri" w:hAnsi="Calibri"/>
                <w:sz w:val="22"/>
              </w:rPr>
              <w:t>$4.045B</w:t>
            </w:r>
          </w:p>
        </w:tc>
        <w:tc>
          <w:tcPr>
            <w:tcW w:type="dxa" w:w="1234"/>
          </w:tcPr>
          <w:p>
            <w:r>
              <w:rPr>
                <w:rFonts w:ascii="Calibri" w:hAnsi="Calibri"/>
                <w:sz w:val="22"/>
              </w:rPr>
              <w:t>$4.646B</w:t>
            </w:r>
          </w:p>
        </w:tc>
        <w:tc>
          <w:tcPr>
            <w:tcW w:type="dxa" w:w="1234"/>
          </w:tcPr>
          <w:p>
            <w:r>
              <w:rPr>
                <w:rFonts w:ascii="Calibri" w:hAnsi="Calibri"/>
                <w:sz w:val="22"/>
              </w:rPr>
              <w:t>+14.8%</w:t>
            </w:r>
          </w:p>
        </w:tc>
        <w:tc>
          <w:tcPr>
            <w:tcW w:type="dxa" w:w="1234"/>
          </w:tcPr>
          <w:p>
            <w:r>
              <w:rPr>
                <w:rFonts w:ascii="Calibri" w:hAnsi="Calibri"/>
                <w:sz w:val="22"/>
              </w:rPr>
              <w:t>~$4.6B</w:t>
            </w:r>
          </w:p>
        </w:tc>
        <w:tc>
          <w:tcPr>
            <w:tcW w:type="dxa" w:w="1234"/>
          </w:tcPr>
          <w:p>
            <w:r>
              <w:rPr>
                <w:rFonts w:ascii="Calibri" w:hAnsi="Calibri"/>
                <w:sz w:val="22"/>
              </w:rPr>
              <w:t>+1.0%</w:t>
            </w:r>
          </w:p>
        </w:tc>
      </w:tr>
      <w:tr>
        <w:tc>
          <w:tcPr>
            <w:tcW w:type="dxa" w:w="1234"/>
          </w:tcPr>
          <w:p>
            <w:r>
              <w:rPr>
                <w:rFonts w:ascii="Calibri" w:hAnsi="Calibri"/>
                <w:sz w:val="22"/>
              </w:rPr>
              <w:t>Core EPS (Diluted – Operating)</w:t>
            </w:r>
          </w:p>
        </w:tc>
        <w:tc>
          <w:tcPr>
            <w:tcW w:type="dxa" w:w="1234"/>
          </w:tcPr>
          <w:p>
            <w:r>
              <w:rPr>
                <w:rFonts w:ascii="Calibri" w:hAnsi="Calibri"/>
                <w:sz w:val="22"/>
              </w:rPr>
              <w:t>$0.70</w:t>
            </w:r>
          </w:p>
        </w:tc>
        <w:tc>
          <w:tcPr>
            <w:tcW w:type="dxa" w:w="1234"/>
          </w:tcPr>
          <w:p>
            <w:r>
              <w:rPr>
                <w:rFonts w:ascii="Calibri" w:hAnsi="Calibri"/>
                <w:sz w:val="22"/>
              </w:rPr>
              <w:t>$0.60</w:t>
            </w:r>
          </w:p>
        </w:tc>
        <w:tc>
          <w:tcPr>
            <w:tcW w:type="dxa" w:w="1234"/>
          </w:tcPr>
          <w:p>
            <w:r>
              <w:rPr>
                <w:rFonts w:ascii="Calibri" w:hAnsi="Calibri"/>
                <w:sz w:val="22"/>
              </w:rPr>
              <w:t>$0.762</w:t>
            </w:r>
          </w:p>
        </w:tc>
        <w:tc>
          <w:tcPr>
            <w:tcW w:type="dxa" w:w="1234"/>
          </w:tcPr>
          <w:p>
            <w:r>
              <w:rPr>
                <w:rFonts w:ascii="Calibri" w:hAnsi="Calibri"/>
                <w:sz w:val="22"/>
              </w:rPr>
              <w:t>+27.0%</w:t>
            </w:r>
          </w:p>
        </w:tc>
        <w:tc>
          <w:tcPr>
            <w:tcW w:type="dxa" w:w="1234"/>
          </w:tcPr>
          <w:p>
            <w:r>
              <w:rPr>
                <w:rFonts w:ascii="Calibri" w:hAnsi="Calibri"/>
                <w:sz w:val="22"/>
              </w:rPr>
              <w:t>$0.73–$0.77 (mid: $0.75)</w:t>
            </w:r>
          </w:p>
        </w:tc>
        <w:tc>
          <w:tcPr>
            <w:tcW w:type="dxa" w:w="1234"/>
          </w:tcPr>
          <w:p>
            <w:r>
              <w:rPr>
                <w:rFonts w:ascii="Calibri" w:hAnsi="Calibri"/>
                <w:sz w:val="22"/>
              </w:rPr>
              <w:t>+1.6%</w:t>
            </w:r>
          </w:p>
        </w:tc>
      </w:tr>
      <w:tr>
        <w:tc>
          <w:tcPr>
            <w:tcW w:type="dxa" w:w="1234"/>
          </w:tcPr>
          <w:p>
            <w:r>
              <w:rPr>
                <w:rFonts w:ascii="Calibri" w:hAnsi="Calibri"/>
                <w:sz w:val="22"/>
              </w:rPr>
              <w:t>Optical Communications Revenue</w:t>
            </w:r>
          </w:p>
        </w:tc>
        <w:tc>
          <w:tcPr>
            <w:tcW w:type="dxa" w:w="1234"/>
          </w:tcPr>
          <w:p>
            <w:r>
              <w:rPr>
                <w:rFonts w:ascii="Calibri" w:hAnsi="Calibri"/>
                <w:sz w:val="22"/>
              </w:rPr>
              <w:t>$1.846B</w:t>
            </w:r>
          </w:p>
        </w:tc>
        <w:tc>
          <w:tcPr>
            <w:tcW w:type="dxa" w:w="1234"/>
          </w:tcPr>
          <w:p>
            <w:r>
              <w:rPr>
                <w:rFonts w:ascii="Calibri" w:hAnsi="Calibri"/>
                <w:sz w:val="22"/>
              </w:rPr>
              <w:t>$1.566B</w:t>
            </w:r>
          </w:p>
        </w:tc>
        <w:tc>
          <w:tcPr>
            <w:tcW w:type="dxa" w:w="1234"/>
          </w:tcPr>
          <w:p>
            <w:r>
              <w:rPr>
                <w:rFonts w:ascii="Calibri" w:hAnsi="Calibri"/>
                <w:sz w:val="22"/>
              </w:rPr>
              <w:t>$2.023B</w:t>
            </w:r>
          </w:p>
        </w:tc>
        <w:tc>
          <w:tcPr>
            <w:tcW w:type="dxa" w:w="1234"/>
          </w:tcPr>
          <w:p>
            <w:r>
              <w:rPr>
                <w:rFonts w:ascii="Calibri" w:hAnsi="Calibri"/>
                <w:sz w:val="22"/>
              </w:rPr>
              <w:t>+29.2%</w:t>
            </w:r>
          </w:p>
        </w:tc>
        <w:tc>
          <w:tcPr>
            <w:tcW w:type="dxa" w:w="1234"/>
          </w:tcPr>
          <w:p>
            <w:r>
              <w:rPr>
                <w:rFonts w:ascii="Calibri" w:hAnsi="Calibri"/>
                <w:sz w:val="22"/>
              </w:rPr>
              <w:t>~14% total rev growth (implied)</w:t>
            </w:r>
          </w:p>
        </w:tc>
        <w:tc>
          <w:tcPr>
            <w:tcW w:type="dxa" w:w="1234"/>
          </w:tcPr>
          <w:p>
            <w:r>
              <w:rPr>
                <w:rFonts w:ascii="Calibri" w:hAnsi="Calibri"/>
                <w:sz w:val="22"/>
              </w:rPr>
              <w:t>N/A (segment not guided separately)</w:t>
            </w:r>
          </w:p>
        </w:tc>
      </w:tr>
      <w:tr>
        <w:tc>
          <w:tcPr>
            <w:tcW w:type="dxa" w:w="1234"/>
          </w:tcPr>
          <w:p>
            <w:r>
              <w:rPr>
                <w:rFonts w:ascii="Calibri" w:hAnsi="Calibri"/>
                <w:sz w:val="22"/>
              </w:rPr>
              <w:t>Optical Communications Net Income</w:t>
            </w:r>
          </w:p>
        </w:tc>
        <w:tc>
          <w:tcPr>
            <w:tcW w:type="dxa" w:w="1234"/>
          </w:tcPr>
          <w:p>
            <w:r>
              <w:rPr>
                <w:rFonts w:ascii="Calibri" w:hAnsi="Calibri"/>
                <w:sz w:val="22"/>
              </w:rPr>
              <w:t>$387M</w:t>
            </w:r>
          </w:p>
        </w:tc>
        <w:tc>
          <w:tcPr>
            <w:tcW w:type="dxa" w:w="1234"/>
          </w:tcPr>
          <w:p>
            <w:r>
              <w:rPr>
                <w:rFonts w:ascii="Calibri" w:hAnsi="Calibri"/>
                <w:sz w:val="22"/>
              </w:rPr>
              <w:t>$247M</w:t>
            </w:r>
          </w:p>
        </w:tc>
        <w:tc>
          <w:tcPr>
            <w:tcW w:type="dxa" w:w="1234"/>
          </w:tcPr>
          <w:p>
            <w:r>
              <w:rPr>
                <w:rFonts w:ascii="Calibri" w:hAnsi="Calibri"/>
                <w:sz w:val="22"/>
              </w:rPr>
              <w:t>$372M</w:t>
            </w:r>
          </w:p>
        </w:tc>
        <w:tc>
          <w:tcPr>
            <w:tcW w:type="dxa" w:w="1234"/>
          </w:tcPr>
          <w:p>
            <w:r>
              <w:rPr>
                <w:rFonts w:ascii="Calibri" w:hAnsi="Calibri"/>
                <w:sz w:val="22"/>
              </w:rPr>
              <w:t>+50.6%</w:t>
            </w:r>
          </w:p>
        </w:tc>
        <w:tc>
          <w:tcPr>
            <w:tcW w:type="dxa" w:w="1234"/>
          </w:tcPr>
          <w:p>
            <w:r>
              <w:rPr>
                <w:rFonts w:ascii="Calibri" w:hAnsi="Calibri"/>
                <w:sz w:val="22"/>
              </w:rPr>
              <w:t>Not guided separately</w:t>
            </w:r>
          </w:p>
        </w:tc>
        <w:tc>
          <w:tcPr>
            <w:tcW w:type="dxa" w:w="1234"/>
          </w:tcPr>
          <w:p>
            <w:r>
              <w:rPr>
                <w:rFonts w:ascii="Calibri" w:hAnsi="Calibri"/>
                <w:sz w:val="22"/>
              </w:rPr>
              <w:t>N/A</w:t>
            </w:r>
          </w:p>
        </w:tc>
      </w:tr>
      <w:tr>
        <w:tc>
          <w:tcPr>
            <w:tcW w:type="dxa" w:w="1234"/>
          </w:tcPr>
          <w:p>
            <w:r>
              <w:rPr>
                <w:rFonts w:ascii="Calibri" w:hAnsi="Calibri"/>
                <w:sz w:val="22"/>
              </w:rPr>
              <w:t>Glass Innovations Revenue</w:t>
            </w:r>
          </w:p>
        </w:tc>
        <w:tc>
          <w:tcPr>
            <w:tcW w:type="dxa" w:w="1234"/>
          </w:tcPr>
          <w:p>
            <w:r>
              <w:rPr>
                <w:rFonts w:ascii="Calibri" w:hAnsi="Calibri"/>
                <w:sz w:val="22"/>
              </w:rPr>
              <w:t>$1.420B</w:t>
            </w:r>
          </w:p>
        </w:tc>
        <w:tc>
          <w:tcPr>
            <w:tcW w:type="dxa" w:w="1234"/>
          </w:tcPr>
          <w:p>
            <w:r>
              <w:rPr>
                <w:rFonts w:ascii="Calibri" w:hAnsi="Calibri"/>
                <w:sz w:val="22"/>
              </w:rPr>
              <w:t>$1.443B</w:t>
            </w:r>
          </w:p>
        </w:tc>
        <w:tc>
          <w:tcPr>
            <w:tcW w:type="dxa" w:w="1234"/>
          </w:tcPr>
          <w:p>
            <w:r>
              <w:rPr>
                <w:rFonts w:ascii="Calibri" w:hAnsi="Calibri"/>
                <w:sz w:val="22"/>
              </w:rPr>
              <w:t>$1.477B</w:t>
            </w:r>
          </w:p>
        </w:tc>
        <w:tc>
          <w:tcPr>
            <w:tcW w:type="dxa" w:w="1234"/>
          </w:tcPr>
          <w:p>
            <w:r>
              <w:rPr>
                <w:rFonts w:ascii="Calibri" w:hAnsi="Calibri"/>
                <w:sz w:val="22"/>
              </w:rPr>
              <w:t>+2.4%</w:t>
            </w:r>
          </w:p>
        </w:tc>
        <w:tc>
          <w:tcPr>
            <w:tcW w:type="dxa" w:w="1234"/>
          </w:tcPr>
          <w:p>
            <w:r>
              <w:rPr>
                <w:rFonts w:ascii="Calibri" w:hAnsi="Calibri"/>
                <w:sz w:val="22"/>
              </w:rPr>
              <w:t>Not guided separately</w:t>
            </w:r>
          </w:p>
        </w:tc>
        <w:tc>
          <w:tcPr>
            <w:tcW w:type="dxa" w:w="1234"/>
          </w:tcPr>
          <w:p>
            <w:r>
              <w:rPr>
                <w:rFonts w:ascii="Calibri" w:hAnsi="Calibri"/>
                <w:sz w:val="22"/>
              </w:rPr>
              <w:t>N/A</w:t>
            </w:r>
          </w:p>
        </w:tc>
      </w:tr>
      <w:tr>
        <w:tc>
          <w:tcPr>
            <w:tcW w:type="dxa" w:w="1234"/>
          </w:tcPr>
          <w:p>
            <w:r>
              <w:rPr>
                <w:rFonts w:ascii="Calibri" w:hAnsi="Calibri"/>
                <w:sz w:val="22"/>
              </w:rPr>
              <w:t>Solar Revenue</w:t>
            </w:r>
          </w:p>
        </w:tc>
        <w:tc>
          <w:tcPr>
            <w:tcW w:type="dxa" w:w="1234"/>
          </w:tcPr>
          <w:p>
            <w:r>
              <w:rPr>
                <w:rFonts w:ascii="Calibri" w:hAnsi="Calibri"/>
                <w:sz w:val="22"/>
              </w:rPr>
              <w:t>$370M</w:t>
            </w:r>
          </w:p>
        </w:tc>
        <w:tc>
          <w:tcPr>
            <w:tcW w:type="dxa" w:w="1234"/>
          </w:tcPr>
          <w:p>
            <w:r>
              <w:rPr>
                <w:rFonts w:ascii="Calibri" w:hAnsi="Calibri"/>
                <w:sz w:val="22"/>
              </w:rPr>
              <w:t>$231M</w:t>
            </w:r>
          </w:p>
        </w:tc>
        <w:tc>
          <w:tcPr>
            <w:tcW w:type="dxa" w:w="1234"/>
          </w:tcPr>
          <w:p>
            <w:r>
              <w:rPr>
                <w:rFonts w:ascii="Calibri" w:hAnsi="Calibri"/>
                <w:sz w:val="22"/>
              </w:rPr>
              <w:t>$388M</w:t>
            </w:r>
          </w:p>
        </w:tc>
        <w:tc>
          <w:tcPr>
            <w:tcW w:type="dxa" w:w="1234"/>
          </w:tcPr>
          <w:p>
            <w:r>
              <w:rPr>
                <w:rFonts w:ascii="Calibri" w:hAnsi="Calibri"/>
                <w:sz w:val="22"/>
              </w:rPr>
              <w:t>+67.9%</w:t>
            </w:r>
          </w:p>
        </w:tc>
        <w:tc>
          <w:tcPr>
            <w:tcW w:type="dxa" w:w="1234"/>
          </w:tcPr>
          <w:p>
            <w:r>
              <w:rPr>
                <w:rFonts w:ascii="Calibri" w:hAnsi="Calibri"/>
                <w:sz w:val="22"/>
              </w:rPr>
              <w:t>Impacted by wafer shutdown (at least 2 months)</w:t>
            </w:r>
          </w:p>
        </w:tc>
        <w:tc>
          <w:tcPr>
            <w:tcW w:type="dxa" w:w="1234"/>
          </w:tcPr>
          <w:p>
            <w:r>
              <w:rPr>
                <w:rFonts w:ascii="Calibri" w:hAnsi="Calibri"/>
                <w:sz w:val="22"/>
              </w:rPr>
              <w:t>N/A (shutdown reduces sales)</w:t>
            </w:r>
          </w:p>
        </w:tc>
      </w:tr>
    </w:tbl>
    <w:p>
      <w:r>
        <w:rPr>
          <w:rFonts w:ascii="Calibri" w:hAnsi="Calibri"/>
          <w:b/>
          <w:color w:val="525866"/>
          <w:sz w:val="22"/>
        </w:rPr>
        <w:t xml:space="preserve">Sources: </w:t>
      </w:r>
      <w:r>
        <w:rPr>
          <w:rFonts w:ascii="Calibri" w:hAnsi="Calibri"/>
          <w:color w:val="525866"/>
          <w:sz w:val="22"/>
        </w:rPr>
        <w:t>All actuals and consensus estimates from Visible Alpha Consensus and Actuals Data. Q2 2026 guidance from Q1 2026 Earnings Call (April 28, 2026). Consensus vs. guidance midpoint calculated as (consensus − guidance midpoint) / guidance midpoint.</w:t>
      </w:r>
    </w:p>
    <w:p>
      <w:pPr>
        <w:pStyle w:val="Heading3"/>
      </w:pPr>
      <w:r>
        <w:rPr>
          <w:rFonts w:ascii="Calibri" w:hAnsi="Calibri"/>
          <w:b/>
          <w:color w:val="3B4259"/>
          <w:sz w:val="24"/>
        </w:rPr>
        <w:t>Table 2 — Beat/Miss History: Last 8 Quarters (Top 2 KPIs: Core Revenue &amp; Core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Revenue</w:t>
            </w:r>
          </w:p>
        </w:tc>
        <w:tc>
          <w:tcPr>
            <w:tcW w:type="dxa" w:w="1440"/>
          </w:tcPr>
          <w:p>
            <w:r>
              <w:rPr>
                <w:rFonts w:ascii="Calibri" w:hAnsi="Calibri"/>
                <w:sz w:val="22"/>
              </w:rPr>
              <w:t>$4.345B</w:t>
            </w:r>
          </w:p>
        </w:tc>
        <w:tc>
          <w:tcPr>
            <w:tcW w:type="dxa" w:w="1440"/>
          </w:tcPr>
          <w:p>
            <w:r>
              <w:rPr>
                <w:rFonts w:ascii="Calibri" w:hAnsi="Calibri"/>
                <w:sz w:val="22"/>
              </w:rPr>
              <w:t>$4.320B</w:t>
            </w:r>
          </w:p>
        </w:tc>
        <w:tc>
          <w:tcPr>
            <w:tcW w:type="dxa" w:w="1440"/>
          </w:tcPr>
          <w:p>
            <w:r>
              <w:rPr>
                <w:rFonts w:ascii="Calibri" w:hAnsi="Calibri"/>
                <w:sz w:val="22"/>
              </w:rPr>
              <w:t>+0.6%</w:t>
            </w:r>
          </w:p>
        </w:tc>
        <w:tc>
          <w:tcPr>
            <w:tcW w:type="dxa" w:w="1440"/>
          </w:tcPr>
          <w:p>
            <w:r>
              <w:rPr>
                <w:rFonts w:ascii="Calibri" w:hAnsi="Calibri"/>
                <w:sz w:val="22"/>
              </w:rPr>
              <w:t>✅ Beat</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$0.70</w:t>
            </w:r>
          </w:p>
        </w:tc>
        <w:tc>
          <w:tcPr>
            <w:tcW w:type="dxa" w:w="1440"/>
          </w:tcPr>
          <w:p>
            <w:r>
              <w:rPr>
                <w:rFonts w:ascii="Calibri" w:hAnsi="Calibri"/>
                <w:sz w:val="22"/>
              </w:rPr>
              <w:t>$0.697</w:t>
            </w:r>
          </w:p>
        </w:tc>
        <w:tc>
          <w:tcPr>
            <w:tcW w:type="dxa" w:w="1440"/>
          </w:tcPr>
          <w:p>
            <w:r>
              <w:rPr>
                <w:rFonts w:ascii="Calibri" w:hAnsi="Calibri"/>
                <w:sz w:val="22"/>
              </w:rPr>
              <w:t>+0.4%</w:t>
            </w:r>
          </w:p>
        </w:tc>
        <w:tc>
          <w:tcPr>
            <w:tcW w:type="dxa" w:w="1440"/>
          </w:tcPr>
          <w:p>
            <w:r>
              <w:rPr>
                <w:rFonts w:ascii="Calibri" w:hAnsi="Calibri"/>
                <w:sz w:val="22"/>
              </w:rPr>
              <w:t>✅ In-Line / Slight Beat</w:t>
            </w:r>
          </w:p>
        </w:tc>
      </w:tr>
      <w:tr>
        <w:tc>
          <w:tcPr>
            <w:tcW w:type="dxa" w:w="1440"/>
          </w:tcPr>
          <w:p>
            <w:r>
              <w:rPr>
                <w:rFonts w:ascii="Calibri" w:hAnsi="Calibri"/>
                <w:sz w:val="22"/>
              </w:rPr>
              <w:t>Q4 2025</w:t>
            </w:r>
          </w:p>
        </w:tc>
        <w:tc>
          <w:tcPr>
            <w:tcW w:type="dxa" w:w="1440"/>
          </w:tcPr>
          <w:p>
            <w:r>
              <w:rPr>
                <w:rFonts w:ascii="Calibri" w:hAnsi="Calibri"/>
                <w:sz w:val="22"/>
              </w:rPr>
              <w:t>Core Revenue</w:t>
            </w:r>
          </w:p>
        </w:tc>
        <w:tc>
          <w:tcPr>
            <w:tcW w:type="dxa" w:w="1440"/>
          </w:tcPr>
          <w:p>
            <w:r>
              <w:rPr>
                <w:rFonts w:ascii="Calibri" w:hAnsi="Calibri"/>
                <w:sz w:val="22"/>
              </w:rPr>
              <w:t>$4.412B</w:t>
            </w:r>
          </w:p>
        </w:tc>
        <w:tc>
          <w:tcPr>
            <w:tcW w:type="dxa" w:w="1440"/>
          </w:tcPr>
          <w:p>
            <w:r>
              <w:rPr>
                <w:rFonts w:ascii="Calibri" w:hAnsi="Calibri"/>
                <w:sz w:val="22"/>
              </w:rPr>
              <w:t>$4.369B</w:t>
            </w:r>
          </w:p>
        </w:tc>
        <w:tc>
          <w:tcPr>
            <w:tcW w:type="dxa" w:w="1440"/>
          </w:tcPr>
          <w:p>
            <w:r>
              <w:rPr>
                <w:rFonts w:ascii="Calibri" w:hAnsi="Calibri"/>
                <w:sz w:val="22"/>
              </w:rPr>
              <w:t>+1.0%</w:t>
            </w:r>
          </w:p>
        </w:tc>
        <w:tc>
          <w:tcPr>
            <w:tcW w:type="dxa" w:w="1440"/>
          </w:tcPr>
          <w:p>
            <w:r>
              <w:rPr>
                <w:rFonts w:ascii="Calibri" w:hAnsi="Calibri"/>
                <w:sz w:val="22"/>
              </w:rPr>
              <w:t>✅ Beat</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$0.72</w:t>
            </w:r>
          </w:p>
        </w:tc>
        <w:tc>
          <w:tcPr>
            <w:tcW w:type="dxa" w:w="1440"/>
          </w:tcPr>
          <w:p>
            <w:r>
              <w:rPr>
                <w:rFonts w:ascii="Calibri" w:hAnsi="Calibri"/>
                <w:sz w:val="22"/>
              </w:rPr>
              <w:t>$0.706</w:t>
            </w:r>
          </w:p>
        </w:tc>
        <w:tc>
          <w:tcPr>
            <w:tcW w:type="dxa" w:w="1440"/>
          </w:tcPr>
          <w:p>
            <w:r>
              <w:rPr>
                <w:rFonts w:ascii="Calibri" w:hAnsi="Calibri"/>
                <w:sz w:val="22"/>
              </w:rPr>
              <w:t>+2.0%</w:t>
            </w:r>
          </w:p>
        </w:tc>
        <w:tc>
          <w:tcPr>
            <w:tcW w:type="dxa" w:w="1440"/>
          </w:tcPr>
          <w:p>
            <w:r>
              <w:rPr>
                <w:rFonts w:ascii="Calibri" w:hAnsi="Calibri"/>
                <w:sz w:val="22"/>
              </w:rPr>
              <w:t>✅ Beat</w:t>
            </w:r>
          </w:p>
        </w:tc>
      </w:tr>
      <w:tr>
        <w:tc>
          <w:tcPr>
            <w:tcW w:type="dxa" w:w="1440"/>
          </w:tcPr>
          <w:p>
            <w:r>
              <w:rPr>
                <w:rFonts w:ascii="Calibri" w:hAnsi="Calibri"/>
                <w:sz w:val="22"/>
              </w:rPr>
              <w:t>Q3 2025</w:t>
            </w:r>
          </w:p>
        </w:tc>
        <w:tc>
          <w:tcPr>
            <w:tcW w:type="dxa" w:w="1440"/>
          </w:tcPr>
          <w:p>
            <w:r>
              <w:rPr>
                <w:rFonts w:ascii="Calibri" w:hAnsi="Calibri"/>
                <w:sz w:val="22"/>
              </w:rPr>
              <w:t>Core Revenue</w:t>
            </w:r>
          </w:p>
        </w:tc>
        <w:tc>
          <w:tcPr>
            <w:tcW w:type="dxa" w:w="1440"/>
          </w:tcPr>
          <w:p>
            <w:r>
              <w:rPr>
                <w:rFonts w:ascii="Calibri" w:hAnsi="Calibri"/>
                <w:sz w:val="22"/>
              </w:rPr>
              <w:t>$4.272B</w:t>
            </w:r>
          </w:p>
        </w:tc>
        <w:tc>
          <w:tcPr>
            <w:tcW w:type="dxa" w:w="1440"/>
          </w:tcPr>
          <w:p>
            <w:r>
              <w:rPr>
                <w:rFonts w:ascii="Calibri" w:hAnsi="Calibri"/>
                <w:sz w:val="22"/>
              </w:rPr>
              <w:t>$4.254B</w:t>
            </w:r>
          </w:p>
        </w:tc>
        <w:tc>
          <w:tcPr>
            <w:tcW w:type="dxa" w:w="1440"/>
          </w:tcPr>
          <w:p>
            <w:r>
              <w:rPr>
                <w:rFonts w:ascii="Calibri" w:hAnsi="Calibri"/>
                <w:sz w:val="22"/>
              </w:rPr>
              <w:t>+0.4%</w:t>
            </w:r>
          </w:p>
        </w:tc>
        <w:tc>
          <w:tcPr>
            <w:tcW w:type="dxa" w:w="1440"/>
          </w:tcPr>
          <w:p>
            <w:r>
              <w:rPr>
                <w:rFonts w:ascii="Calibri" w:hAnsi="Calibri"/>
                <w:sz w:val="22"/>
              </w:rPr>
              <w:t>✅ Beat</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$0.67</w:t>
            </w:r>
          </w:p>
        </w:tc>
        <w:tc>
          <w:tcPr>
            <w:tcW w:type="dxa" w:w="1440"/>
          </w:tcPr>
          <w:p>
            <w:r>
              <w:rPr>
                <w:rFonts w:ascii="Calibri" w:hAnsi="Calibri"/>
                <w:sz w:val="22"/>
              </w:rPr>
              <w:t>$0.665</w:t>
            </w:r>
          </w:p>
        </w:tc>
        <w:tc>
          <w:tcPr>
            <w:tcW w:type="dxa" w:w="1440"/>
          </w:tcPr>
          <w:p>
            <w:r>
              <w:rPr>
                <w:rFonts w:ascii="Calibri" w:hAnsi="Calibri"/>
                <w:sz w:val="22"/>
              </w:rPr>
              <w:t>+0.8%</w:t>
            </w:r>
          </w:p>
        </w:tc>
        <w:tc>
          <w:tcPr>
            <w:tcW w:type="dxa" w:w="1440"/>
          </w:tcPr>
          <w:p>
            <w:r>
              <w:rPr>
                <w:rFonts w:ascii="Calibri" w:hAnsi="Calibri"/>
                <w:sz w:val="22"/>
              </w:rPr>
              <w:t>✅ Beat</w:t>
            </w:r>
          </w:p>
        </w:tc>
      </w:tr>
      <w:tr>
        <w:tc>
          <w:tcPr>
            <w:tcW w:type="dxa" w:w="1440"/>
          </w:tcPr>
          <w:p>
            <w:r>
              <w:rPr>
                <w:rFonts w:ascii="Calibri" w:hAnsi="Calibri"/>
                <w:sz w:val="22"/>
              </w:rPr>
              <w:t>Q2 2025</w:t>
            </w:r>
          </w:p>
        </w:tc>
        <w:tc>
          <w:tcPr>
            <w:tcW w:type="dxa" w:w="1440"/>
          </w:tcPr>
          <w:p>
            <w:r>
              <w:rPr>
                <w:rFonts w:ascii="Calibri" w:hAnsi="Calibri"/>
                <w:sz w:val="22"/>
              </w:rPr>
              <w:t>Core Revenue</w:t>
            </w:r>
          </w:p>
        </w:tc>
        <w:tc>
          <w:tcPr>
            <w:tcW w:type="dxa" w:w="1440"/>
          </w:tcPr>
          <w:p>
            <w:r>
              <w:rPr>
                <w:rFonts w:ascii="Calibri" w:hAnsi="Calibri"/>
                <w:sz w:val="22"/>
              </w:rPr>
              <w:t>$4.045B</w:t>
            </w:r>
          </w:p>
        </w:tc>
        <w:tc>
          <w:tcPr>
            <w:tcW w:type="dxa" w:w="1440"/>
          </w:tcPr>
          <w:p>
            <w:r>
              <w:rPr>
                <w:rFonts w:ascii="Calibri" w:hAnsi="Calibri"/>
                <w:sz w:val="22"/>
              </w:rPr>
              <w:t>$3.868B</w:t>
            </w:r>
          </w:p>
        </w:tc>
        <w:tc>
          <w:tcPr>
            <w:tcW w:type="dxa" w:w="1440"/>
          </w:tcPr>
          <w:p>
            <w:r>
              <w:rPr>
                <w:rFonts w:ascii="Calibri" w:hAnsi="Calibri"/>
                <w:sz w:val="22"/>
              </w:rPr>
              <w:t>+4.6%</w:t>
            </w:r>
          </w:p>
        </w:tc>
        <w:tc>
          <w:tcPr>
            <w:tcW w:type="dxa" w:w="1440"/>
          </w:tcPr>
          <w:p>
            <w:r>
              <w:rPr>
                <w:rFonts w:ascii="Calibri" w:hAnsi="Calibri"/>
                <w:sz w:val="22"/>
              </w:rPr>
              <w:t>✅ Beat</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$0.60</w:t>
            </w:r>
          </w:p>
        </w:tc>
        <w:tc>
          <w:tcPr>
            <w:tcW w:type="dxa" w:w="1440"/>
          </w:tcPr>
          <w:p>
            <w:r>
              <w:rPr>
                <w:rFonts w:ascii="Calibri" w:hAnsi="Calibri"/>
                <w:sz w:val="22"/>
              </w:rPr>
              <w:t>$0.573</w:t>
            </w:r>
          </w:p>
        </w:tc>
        <w:tc>
          <w:tcPr>
            <w:tcW w:type="dxa" w:w="1440"/>
          </w:tcPr>
          <w:p>
            <w:r>
              <w:rPr>
                <w:rFonts w:ascii="Calibri" w:hAnsi="Calibri"/>
                <w:sz w:val="22"/>
              </w:rPr>
              <w:t>+4.7%</w:t>
            </w:r>
          </w:p>
        </w:tc>
        <w:tc>
          <w:tcPr>
            <w:tcW w:type="dxa" w:w="1440"/>
          </w:tcPr>
          <w:p>
            <w:r>
              <w:rPr>
                <w:rFonts w:ascii="Calibri" w:hAnsi="Calibri"/>
                <w:sz w:val="22"/>
              </w:rPr>
              <w:t>✅ Beat</w:t>
            </w:r>
          </w:p>
        </w:tc>
      </w:tr>
      <w:tr>
        <w:tc>
          <w:tcPr>
            <w:tcW w:type="dxa" w:w="1440"/>
          </w:tcPr>
          <w:p>
            <w:r>
              <w:rPr>
                <w:rFonts w:ascii="Calibri" w:hAnsi="Calibri"/>
                <w:sz w:val="22"/>
              </w:rPr>
              <w:t>Q1 2025</w:t>
            </w:r>
          </w:p>
        </w:tc>
        <w:tc>
          <w:tcPr>
            <w:tcW w:type="dxa" w:w="1440"/>
          </w:tcPr>
          <w:p>
            <w:r>
              <w:rPr>
                <w:rFonts w:ascii="Calibri" w:hAnsi="Calibri"/>
                <w:sz w:val="22"/>
              </w:rPr>
              <w:t>Core Revenue</w:t>
            </w:r>
          </w:p>
        </w:tc>
        <w:tc>
          <w:tcPr>
            <w:tcW w:type="dxa" w:w="1440"/>
          </w:tcPr>
          <w:p>
            <w:r>
              <w:rPr>
                <w:rFonts w:ascii="Calibri" w:hAnsi="Calibri"/>
                <w:sz w:val="22"/>
              </w:rPr>
              <w:t>$3.679B</w:t>
            </w:r>
          </w:p>
        </w:tc>
        <w:tc>
          <w:tcPr>
            <w:tcW w:type="dxa" w:w="1440"/>
          </w:tcPr>
          <w:p>
            <w:r>
              <w:rPr>
                <w:rFonts w:ascii="Calibri" w:hAnsi="Calibri"/>
                <w:sz w:val="22"/>
              </w:rPr>
              <w:t>$3.671B</w:t>
            </w:r>
          </w:p>
        </w:tc>
        <w:tc>
          <w:tcPr>
            <w:tcW w:type="dxa" w:w="1440"/>
          </w:tcPr>
          <w:p>
            <w:r>
              <w:rPr>
                <w:rFonts w:ascii="Calibri" w:hAnsi="Calibri"/>
                <w:sz w:val="22"/>
              </w:rPr>
              <w:t>+0.2%</w:t>
            </w:r>
          </w:p>
        </w:tc>
        <w:tc>
          <w:tcPr>
            <w:tcW w:type="dxa" w:w="1440"/>
          </w:tcPr>
          <w:p>
            <w:r>
              <w:rPr>
                <w:rFonts w:ascii="Calibri" w:hAnsi="Calibri"/>
                <w:sz w:val="22"/>
              </w:rPr>
              <w:t>✅ In-Line / Slight Beat</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$0.54</w:t>
            </w:r>
          </w:p>
        </w:tc>
        <w:tc>
          <w:tcPr>
            <w:tcW w:type="dxa" w:w="1440"/>
          </w:tcPr>
          <w:p>
            <w:r>
              <w:rPr>
                <w:rFonts w:ascii="Calibri" w:hAnsi="Calibri"/>
                <w:sz w:val="22"/>
              </w:rPr>
              <w:t>$0.511</w:t>
            </w:r>
          </w:p>
        </w:tc>
        <w:tc>
          <w:tcPr>
            <w:tcW w:type="dxa" w:w="1440"/>
          </w:tcPr>
          <w:p>
            <w:r>
              <w:rPr>
                <w:rFonts w:ascii="Calibri" w:hAnsi="Calibri"/>
                <w:sz w:val="22"/>
              </w:rPr>
              <w:t>+5.7%</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Core Revenue</w:t>
            </w:r>
          </w:p>
        </w:tc>
        <w:tc>
          <w:tcPr>
            <w:tcW w:type="dxa" w:w="1440"/>
          </w:tcPr>
          <w:p>
            <w:r>
              <w:rPr>
                <w:rFonts w:ascii="Calibri" w:hAnsi="Calibri"/>
                <w:sz w:val="22"/>
              </w:rPr>
              <w:t>$3.874B</w:t>
            </w:r>
          </w:p>
        </w:tc>
        <w:tc>
          <w:tcPr>
            <w:tcW w:type="dxa" w:w="1440"/>
          </w:tcPr>
          <w:p>
            <w:r>
              <w:rPr>
                <w:rFonts w:ascii="Calibri" w:hAnsi="Calibri"/>
                <w:sz w:val="22"/>
              </w:rPr>
              <w:t>$3.762B</w:t>
            </w:r>
          </w:p>
        </w:tc>
        <w:tc>
          <w:tcPr>
            <w:tcW w:type="dxa" w:w="1440"/>
          </w:tcPr>
          <w:p>
            <w:r>
              <w:rPr>
                <w:rFonts w:ascii="Calibri" w:hAnsi="Calibri"/>
                <w:sz w:val="22"/>
              </w:rPr>
              <w:t>+3.0%</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$0.57</w:t>
            </w:r>
          </w:p>
        </w:tc>
        <w:tc>
          <w:tcPr>
            <w:tcW w:type="dxa" w:w="1440"/>
          </w:tcPr>
          <w:p>
            <w:r>
              <w:rPr>
                <w:rFonts w:ascii="Calibri" w:hAnsi="Calibri"/>
                <w:sz w:val="22"/>
              </w:rPr>
              <w:t>$0.558</w:t>
            </w:r>
          </w:p>
        </w:tc>
        <w:tc>
          <w:tcPr>
            <w:tcW w:type="dxa" w:w="1440"/>
          </w:tcPr>
          <w:p>
            <w:r>
              <w:rPr>
                <w:rFonts w:ascii="Calibri" w:hAnsi="Calibri"/>
                <w:sz w:val="22"/>
              </w:rPr>
              <w:t>+2.2%</w:t>
            </w:r>
          </w:p>
        </w:tc>
        <w:tc>
          <w:tcPr>
            <w:tcW w:type="dxa" w:w="1440"/>
          </w:tcPr>
          <w:p>
            <w:r>
              <w:rPr>
                <w:rFonts w:ascii="Calibri" w:hAnsi="Calibri"/>
                <w:sz w:val="22"/>
              </w:rPr>
              <w:t>✅ Beat</w:t>
            </w:r>
          </w:p>
        </w:tc>
      </w:tr>
      <w:tr>
        <w:tc>
          <w:tcPr>
            <w:tcW w:type="dxa" w:w="1440"/>
          </w:tcPr>
          <w:p>
            <w:r>
              <w:rPr>
                <w:rFonts w:ascii="Calibri" w:hAnsi="Calibri"/>
                <w:sz w:val="22"/>
              </w:rPr>
              <w:t>Q3 2024</w:t>
            </w:r>
          </w:p>
        </w:tc>
        <w:tc>
          <w:tcPr>
            <w:tcW w:type="dxa" w:w="1440"/>
          </w:tcPr>
          <w:p>
            <w:r>
              <w:rPr>
                <w:rFonts w:ascii="Calibri" w:hAnsi="Calibri"/>
                <w:sz w:val="22"/>
              </w:rPr>
              <w:t>Core Revenue</w:t>
            </w:r>
          </w:p>
        </w:tc>
        <w:tc>
          <w:tcPr>
            <w:tcW w:type="dxa" w:w="1440"/>
          </w:tcPr>
          <w:p>
            <w:r>
              <w:rPr>
                <w:rFonts w:ascii="Calibri" w:hAnsi="Calibri"/>
                <w:sz w:val="22"/>
              </w:rPr>
              <w:t>$3.733B</w:t>
            </w:r>
          </w:p>
        </w:tc>
        <w:tc>
          <w:tcPr>
            <w:tcW w:type="dxa" w:w="1440"/>
          </w:tcPr>
          <w:p>
            <w:r>
              <w:rPr>
                <w:rFonts w:ascii="Calibri" w:hAnsi="Calibri"/>
                <w:sz w:val="22"/>
              </w:rPr>
              <w:t>$3.718B</w:t>
            </w:r>
          </w:p>
        </w:tc>
        <w:tc>
          <w:tcPr>
            <w:tcW w:type="dxa" w:w="1440"/>
          </w:tcPr>
          <w:p>
            <w:r>
              <w:rPr>
                <w:rFonts w:ascii="Calibri" w:hAnsi="Calibri"/>
                <w:sz w:val="22"/>
              </w:rPr>
              <w:t>+0.4%</w:t>
            </w:r>
          </w:p>
        </w:tc>
        <w:tc>
          <w:tcPr>
            <w:tcW w:type="dxa" w:w="1440"/>
          </w:tcPr>
          <w:p>
            <w:r>
              <w:rPr>
                <w:rFonts w:ascii="Calibri" w:hAnsi="Calibri"/>
                <w:sz w:val="22"/>
              </w:rPr>
              <w:t>✅ In-Line / Slight Beat</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$0.54</w:t>
            </w:r>
          </w:p>
        </w:tc>
        <w:tc>
          <w:tcPr>
            <w:tcW w:type="dxa" w:w="1440"/>
          </w:tcPr>
          <w:p>
            <w:r>
              <w:rPr>
                <w:rFonts w:ascii="Calibri" w:hAnsi="Calibri"/>
                <w:sz w:val="22"/>
              </w:rPr>
              <w:t>$0.523</w:t>
            </w:r>
          </w:p>
        </w:tc>
        <w:tc>
          <w:tcPr>
            <w:tcW w:type="dxa" w:w="1440"/>
          </w:tcPr>
          <w:p>
            <w:r>
              <w:rPr>
                <w:rFonts w:ascii="Calibri" w:hAnsi="Calibri"/>
                <w:sz w:val="22"/>
              </w:rPr>
              <w:t>+3.3%</w:t>
            </w:r>
          </w:p>
        </w:tc>
        <w:tc>
          <w:tcPr>
            <w:tcW w:type="dxa" w:w="1440"/>
          </w:tcPr>
          <w:p>
            <w:r>
              <w:rPr>
                <w:rFonts w:ascii="Calibri" w:hAnsi="Calibri"/>
                <w:sz w:val="22"/>
              </w:rPr>
              <w:t>✅ Beat</w:t>
            </w:r>
          </w:p>
        </w:tc>
      </w:tr>
    </w:tbl>
    <w:p>
      <w:r>
        <w:rPr>
          <w:rFonts w:ascii="Calibri" w:hAnsi="Calibri"/>
          <w:b/>
          <w:color w:val="525866"/>
          <w:sz w:val="22"/>
        </w:rPr>
        <w:t xml:space="preserve">Pattern: </w:t>
      </w:r>
      <w:r>
        <w:rPr>
          <w:rFonts w:ascii="Calibri" w:hAnsi="Calibri"/>
          <w:color w:val="525866"/>
          <w:sz w:val="22"/>
        </w:rPr>
        <w:t>GLW has beaten or matched consensus on both core revenue and core EPS in each of the last 8 quarters, with EPS surprises ranging from +0.4% to +5.7% and revenue surprises from +0.2% to +4.6% — a consistent, if modest, beat cadence that sets a high bar for the Street to model conservatively.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call — Q2 targets of ~$4.6B revenue and $0.73–$0.77 EPS remain the operative framework. The May 6 Investor Day upgraded the long-term Springboard plan materially but did not change near-term quarterly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Revenue</w:t>
            </w:r>
          </w:p>
        </w:tc>
        <w:tc>
          <w:tcPr>
            <w:tcW w:type="dxa" w:w="1728"/>
          </w:tcPr>
          <w:p>
            <w:r>
              <w:rPr>
                <w:rFonts w:ascii="Calibri" w:hAnsi="Calibri"/>
                <w:sz w:val="22"/>
              </w:rPr>
              <w:t>~$4.6B (+14% YoY)</w:t>
            </w:r>
          </w:p>
        </w:tc>
        <w:tc>
          <w:tcPr>
            <w:tcW w:type="dxa" w:w="1728"/>
          </w:tcPr>
          <w:p>
            <w:r>
              <w:rPr>
                <w:rFonts w:ascii="Calibri" w:hAnsi="Calibri"/>
                <w:sz w:val="22"/>
              </w:rPr>
              <w:t>—</w:t>
            </w:r>
          </w:p>
        </w:tc>
        <w:tc>
          <w:tcPr>
            <w:tcW w:type="dxa" w:w="1728"/>
          </w:tcPr>
          <w:p>
            <w:r>
              <w:rPr>
                <w:rFonts w:ascii="Calibri" w:hAnsi="Calibri"/>
                <w:sz w:val="22"/>
              </w:rPr>
              <w:t>$4.646B</w:t>
            </w:r>
          </w:p>
        </w:tc>
        <w:tc>
          <w:tcPr>
            <w:tcW w:type="dxa" w:w="1728"/>
          </w:tcPr>
          <w:p>
            <w:r>
              <w:rPr>
                <w:rFonts w:ascii="Calibri" w:hAnsi="Calibri"/>
                <w:sz w:val="22"/>
              </w:rPr>
              <w:t>Unchanged; consensus sits +1.0% above midpoint</w:t>
            </w:r>
          </w:p>
        </w:tc>
      </w:tr>
      <w:tr>
        <w:tc>
          <w:tcPr>
            <w:tcW w:type="dxa" w:w="1728"/>
          </w:tcPr>
          <w:p>
            <w:r>
              <w:rPr>
                <w:rFonts w:ascii="Calibri" w:hAnsi="Calibri"/>
                <w:sz w:val="22"/>
              </w:rPr>
              <w:t>Q2 2026 Core EPS</w:t>
            </w:r>
          </w:p>
        </w:tc>
        <w:tc>
          <w:tcPr>
            <w:tcW w:type="dxa" w:w="1728"/>
          </w:tcPr>
          <w:p>
            <w:r>
              <w:rPr>
                <w:rFonts w:ascii="Calibri" w:hAnsi="Calibri"/>
                <w:sz w:val="22"/>
              </w:rPr>
              <w:t>$0.73–$0.77 (+25% YoY)</w:t>
            </w:r>
          </w:p>
        </w:tc>
        <w:tc>
          <w:tcPr>
            <w:tcW w:type="dxa" w:w="1728"/>
          </w:tcPr>
          <w:p>
            <w:r>
              <w:rPr>
                <w:rFonts w:ascii="Calibri" w:hAnsi="Calibri"/>
                <w:sz w:val="22"/>
              </w:rPr>
              <w:t>—</w:t>
            </w:r>
          </w:p>
        </w:tc>
        <w:tc>
          <w:tcPr>
            <w:tcW w:type="dxa" w:w="1728"/>
          </w:tcPr>
          <w:p>
            <w:r>
              <w:rPr>
                <w:rFonts w:ascii="Calibri" w:hAnsi="Calibri"/>
                <w:sz w:val="22"/>
              </w:rPr>
              <w:t>$0.762</w:t>
            </w:r>
          </w:p>
        </w:tc>
        <w:tc>
          <w:tcPr>
            <w:tcW w:type="dxa" w:w="1728"/>
          </w:tcPr>
          <w:p>
            <w:r>
              <w:rPr>
                <w:rFonts w:ascii="Calibri" w:hAnsi="Calibri"/>
                <w:sz w:val="22"/>
              </w:rPr>
              <w:t>Unchanged; consensus at top of range; solar drag ~$0.07 already embedded</w:t>
            </w:r>
          </w:p>
        </w:tc>
      </w:tr>
      <w:tr>
        <w:tc>
          <w:tcPr>
            <w:tcW w:type="dxa" w:w="1728"/>
          </w:tcPr>
          <w:p>
            <w:r>
              <w:rPr>
                <w:rFonts w:ascii="Calibri" w:hAnsi="Calibri"/>
                <w:sz w:val="22"/>
              </w:rPr>
              <w:t>Solar Wafer Shutdown Expense</w:t>
            </w:r>
          </w:p>
        </w:tc>
        <w:tc>
          <w:tcPr>
            <w:tcW w:type="dxa" w:w="1728"/>
          </w:tcPr>
          <w:p>
            <w:r>
              <w:rPr>
                <w:rFonts w:ascii="Calibri" w:hAnsi="Calibri"/>
                <w:sz w:val="22"/>
              </w:rPr>
              <w:t>+$30M incremental vs. Q1; ~$0.07 EPS impact</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Shutdown to transition to permanent power; repair &amp; upgrade equipment; reduces sales for ≥2 months in Q2</w:t>
            </w:r>
          </w:p>
        </w:tc>
      </w:tr>
      <w:tr>
        <w:tc>
          <w:tcPr>
            <w:tcW w:type="dxa" w:w="1728"/>
          </w:tcPr>
          <w:p>
            <w:r>
              <w:rPr>
                <w:rFonts w:ascii="Calibri" w:hAnsi="Calibri"/>
                <w:sz w:val="22"/>
              </w:rPr>
              <w:t>FY 2026 Annualized Sales Run Rate</w:t>
            </w:r>
          </w:p>
        </w:tc>
        <w:tc>
          <w:tcPr>
            <w:tcW w:type="dxa" w:w="1728"/>
          </w:tcPr>
          <w:p>
            <w:r>
              <w:rPr>
                <w:rFonts w:ascii="Calibri" w:hAnsi="Calibri"/>
                <w:sz w:val="22"/>
              </w:rPr>
              <w:t>$20B by end of 2026 (Springboard target)</w:t>
            </w:r>
          </w:p>
        </w:tc>
        <w:tc>
          <w:tcPr>
            <w:tcW w:type="dxa" w:w="1728"/>
          </w:tcPr>
          <w:p>
            <w:r>
              <w:rPr>
                <w:rFonts w:ascii="Calibri" w:hAnsi="Calibri"/>
                <w:sz w:val="22"/>
              </w:rPr>
              <w:t>Reaffirmed at May 6 Investor Day</w:t>
            </w:r>
          </w:p>
        </w:tc>
        <w:tc>
          <w:tcPr>
            <w:tcW w:type="dxa" w:w="1728"/>
          </w:tcPr>
          <w:p>
            <w:r>
              <w:rPr>
                <w:rFonts w:ascii="Calibri" w:hAnsi="Calibri"/>
                <w:sz w:val="22"/>
              </w:rPr>
              <w:t>$19.13B FY consensus</w:t>
            </w:r>
          </w:p>
        </w:tc>
        <w:tc>
          <w:tcPr>
            <w:tcW w:type="dxa" w:w="1728"/>
          </w:tcPr>
          <w:p>
            <w:r>
              <w:rPr>
                <w:rFonts w:ascii="Calibri" w:hAnsi="Calibri"/>
                <w:sz w:val="22"/>
              </w:rPr>
              <w:t>Reaffirmed May 6; $20B run rate = Q4 2026 annualized, not full-year sum</w:t>
            </w:r>
          </w:p>
        </w:tc>
      </w:tr>
      <w:tr>
        <w:tc>
          <w:tcPr>
            <w:tcW w:type="dxa" w:w="1728"/>
          </w:tcPr>
          <w:p>
            <w:r>
              <w:rPr>
                <w:rFonts w:ascii="Calibri" w:hAnsi="Calibri"/>
                <w:sz w:val="22"/>
              </w:rPr>
              <w:t>FY 2026 CapEx</w:t>
            </w:r>
          </w:p>
        </w:tc>
        <w:tc>
          <w:tcPr>
            <w:tcW w:type="dxa" w:w="1728"/>
          </w:tcPr>
          <w:p>
            <w:r>
              <w:rPr>
                <w:rFonts w:ascii="Calibri" w:hAnsi="Calibri"/>
                <w:sz w:val="22"/>
              </w:rPr>
              <w:t>~$1.7B (could be slightly above)</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Management noted could be “a little above” $1.7B; ramp expected into 2027–28</w:t>
            </w:r>
          </w:p>
        </w:tc>
      </w:tr>
      <w:tr>
        <w:tc>
          <w:tcPr>
            <w:tcW w:type="dxa" w:w="1728"/>
          </w:tcPr>
          <w:p>
            <w:r>
              <w:rPr>
                <w:rFonts w:ascii="Calibri" w:hAnsi="Calibri"/>
                <w:sz w:val="22"/>
              </w:rPr>
              <w:t>Operating Margin</w:t>
            </w:r>
          </w:p>
        </w:tc>
        <w:tc>
          <w:tcPr>
            <w:tcW w:type="dxa" w:w="1728"/>
          </w:tcPr>
          <w:p>
            <w:r>
              <w:rPr>
                <w:rFonts w:ascii="Calibri" w:hAnsi="Calibri"/>
                <w:sz w:val="22"/>
              </w:rPr>
              <w:t>At or above 20% target</w:t>
            </w:r>
          </w:p>
        </w:tc>
        <w:tc>
          <w:tcPr>
            <w:tcW w:type="dxa" w:w="1728"/>
          </w:tcPr>
          <w:p>
            <w:r>
              <w:rPr>
                <w:rFonts w:ascii="Calibri" w:hAnsi="Calibri"/>
                <w:sz w:val="22"/>
              </w:rPr>
              <w:t>Reaffirmed at May 6 Investor Day</w:t>
            </w:r>
          </w:p>
        </w:tc>
        <w:tc>
          <w:tcPr>
            <w:tcW w:type="dxa" w:w="1728"/>
          </w:tcPr>
          <w:p>
            <w:r>
              <w:rPr>
                <w:rFonts w:ascii="Calibri" w:hAnsi="Calibri"/>
                <w:sz w:val="22"/>
              </w:rPr>
              <w:t>N/A — not in VA consensus</w:t>
            </w:r>
          </w:p>
        </w:tc>
        <w:tc>
          <w:tcPr>
            <w:tcW w:type="dxa" w:w="1728"/>
          </w:tcPr>
          <w:p>
            <w:r>
              <w:rPr>
                <w:rFonts w:ascii="Calibri" w:hAnsi="Calibri"/>
                <w:sz w:val="22"/>
              </w:rPr>
              <w:t>Target achieved a year early (20.2% in Q4 2025); new target to be provided at year-end</w:t>
            </w:r>
          </w:p>
        </w:tc>
      </w:tr>
      <w:tr>
        <w:tc>
          <w:tcPr>
            <w:tcW w:type="dxa" w:w="1728"/>
          </w:tcPr>
          <w:p>
            <w:r>
              <w:rPr>
                <w:rFonts w:ascii="Calibri" w:hAnsi="Calibri"/>
                <w:sz w:val="22"/>
              </w:rPr>
              <w:t>Springboard 2028 Internal Plan</w:t>
            </w:r>
          </w:p>
        </w:tc>
        <w:tc>
          <w:tcPr>
            <w:tcW w:type="dxa" w:w="1728"/>
          </w:tcPr>
          <w:p>
            <w:r>
              <w:rPr>
                <w:rFonts w:ascii="Calibri" w:hAnsi="Calibri"/>
                <w:sz w:val="22"/>
              </w:rPr>
              <w:t>$11B incremental annualized sales by end-2028 (Jan call)</w:t>
            </w:r>
          </w:p>
        </w:tc>
        <w:tc>
          <w:tcPr>
            <w:tcW w:type="dxa" w:w="1728"/>
          </w:tcPr>
          <w:p>
            <w:r>
              <w:rPr>
                <w:rFonts w:ascii="Calibri" w:hAnsi="Calibri"/>
                <w:sz w:val="22"/>
              </w:rPr>
              <w:t>↑ Upgraded to $30B run rate by end-2028 (May 6 Investor Day)</w:t>
            </w:r>
          </w:p>
        </w:tc>
        <w:tc>
          <w:tcPr>
            <w:tcW w:type="dxa" w:w="1728"/>
          </w:tcPr>
          <w:p>
            <w:r>
              <w:rPr>
                <w:rFonts w:ascii="Calibri" w:hAnsi="Calibri"/>
                <w:sz w:val="22"/>
              </w:rPr>
              <w:t>N/A</w:t>
            </w:r>
          </w:p>
        </w:tc>
        <w:tc>
          <w:tcPr>
            <w:tcW w:type="dxa" w:w="1728"/>
          </w:tcPr>
          <w:p>
            <w:r>
              <w:rPr>
                <w:rFonts w:ascii="Calibri" w:hAnsi="Calibri"/>
                <w:sz w:val="22"/>
              </w:rPr>
              <w:t>↑ Raised at May 6 Investor Day; high-confidence plan $27B; 19% CAGR from 2027</w:t>
            </w:r>
          </w:p>
        </w:tc>
      </w:tr>
      <w:tr>
        <w:tc>
          <w:tcPr>
            <w:tcW w:type="dxa" w:w="1728"/>
          </w:tcPr>
          <w:p>
            <w:r>
              <w:rPr>
                <w:rFonts w:ascii="Calibri" w:hAnsi="Calibri"/>
                <w:sz w:val="22"/>
              </w:rPr>
              <w:t>Springboard 2030 Extension</w:t>
            </w:r>
          </w:p>
        </w:tc>
        <w:tc>
          <w:tcPr>
            <w:tcW w:type="dxa" w:w="1728"/>
          </w:tcPr>
          <w:p>
            <w:r>
              <w:rPr>
                <w:rFonts w:ascii="Calibri" w:hAnsi="Calibri"/>
                <w:sz w:val="22"/>
              </w:rPr>
              <w:t>Not previously guided</w:t>
            </w:r>
          </w:p>
        </w:tc>
        <w:tc>
          <w:tcPr>
            <w:tcW w:type="dxa" w:w="1728"/>
          </w:tcPr>
          <w:p>
            <w:r>
              <w:rPr>
                <w:rFonts w:ascii="Calibri" w:hAnsi="Calibri"/>
                <w:sz w:val="22"/>
              </w:rPr>
              <w:t>↑ New: $40B internal / $35B high-confidence run rate by end-2030 (May 6)</w:t>
            </w:r>
          </w:p>
        </w:tc>
        <w:tc>
          <w:tcPr>
            <w:tcW w:type="dxa" w:w="1728"/>
          </w:tcPr>
          <w:p>
            <w:r>
              <w:rPr>
                <w:rFonts w:ascii="Calibri" w:hAnsi="Calibri"/>
                <w:sz w:val="22"/>
              </w:rPr>
              <w:t>N/A</w:t>
            </w:r>
          </w:p>
        </w:tc>
        <w:tc>
          <w:tcPr>
            <w:tcW w:type="dxa" w:w="1728"/>
          </w:tcPr>
          <w:p>
            <w:r>
              <w:rPr>
                <w:rFonts w:ascii="Calibri" w:hAnsi="Calibri"/>
                <w:sz w:val="22"/>
              </w:rPr>
              <w:t>↑ New target introduced at May 6 Investor Day; Photonics MAP targeting $10B by 2030</w:t>
            </w:r>
          </w:p>
        </w:tc>
      </w:tr>
    </w:tbl>
    <w:p>
      <w:r>
        <w:rPr>
          <w:rFonts w:ascii="Calibri" w:hAnsi="Calibri"/>
          <w:b/>
          <w:color w:val="525866"/>
          <w:sz w:val="22"/>
        </w:rPr>
        <w:t xml:space="preserve">Sources: </w:t>
      </w:r>
      <w:r>
        <w:rPr>
          <w:rFonts w:ascii="Calibri" w:hAnsi="Calibri"/>
          <w:color w:val="525866"/>
          <w:sz w:val="22"/>
        </w:rPr>
        <w:t>All consensus figures from Visible Alpha Consensus and Actuals Data. May 5, 2026 baseline represents consensus approximately 5 trading days after the Q1 2026 earnings release (April 28, 2026). Guidance from Q1 2026 Earnings Call transcript and May 6, 2026 Investor Day.</w:t>
      </w:r>
    </w:p>
    <w:p>
      <w:r>
        <w:rPr>
          <w:rFonts w:ascii="Calibri" w:hAnsi="Calibri"/>
          <w:b/>
          <w:color w:val="525866"/>
          <w:sz w:val="22"/>
        </w:rPr>
        <w:t xml:space="preserve">Commentary: </w:t>
      </w:r>
      <w:r>
        <w:rPr>
          <w:rFonts w:ascii="Calibri" w:hAnsi="Calibri"/>
          <w:color w:val="525866"/>
          <w:sz w:val="22"/>
        </w:rPr>
        <w:t>The near-zero estimate drift since the Q1 print is notable — it tells you the Street took management’s guidance at face value and has not independently revised up or down. The slight upward nudge in FY 2026 EPS (+1.1%) likely reflects the May 6 Springboard upgrade flowing through models, but the magnitude is small. The key risk is that the solar wafer shutdown impact on Q2 revenue (not just expense) may be underestimated by consensus, as management noted sales would be reduced for “at least a couple of months” in Q2.</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GLW dramatically outperformed on the Springboard upgrade euphoria through June 30 (+67% from the Q1 earnings date), then reversed sharply — falling ~44% from peak to the July 28 pre-earnings close of $143.36. The reversal is far larger than any operational miss would justify, suggesting multiple compression and sentiment unwind are the dominant forces, not fundamental deterioration.</w:t>
      </w:r>
    </w:p>
    <w:p>
      <w:r>
        <w:rPr>
          <w:rFonts w:ascii="Calibri" w:hAnsi="Calibri"/>
          <w:b/>
          <w:color w:val="525866"/>
          <w:sz w:val="22"/>
        </w:rPr>
        <w:t xml:space="preserve">Benchmark: </w:t>
      </w:r>
      <w:r>
        <w:rPr>
          <w:rFonts w:ascii="Calibri" w:hAnsi="Calibri"/>
          <w:color w:val="525866"/>
          <w:sz w:val="22"/>
        </w:rPr>
        <w:t>XLB (Materials Select Sector SPDR ETF) is used as the sector benchmark. GLW is classified in the Materials sector and XLB is the most widely used sector ETF for this classification. Note that GLW’s primary growth driver (Optical Communications / AI infrastructure) has more in common with Technology, but XLB is the correct sector classification benchmark.</w:t>
      </w:r>
    </w:p>
    <w:p>
      <w:pPr>
        <w:pStyle w:val="Heading3"/>
      </w:pPr>
      <w:r>
        <w:rPr>
          <w:rFonts w:ascii="Calibri" w:hAnsi="Calibri"/>
          <w:b/>
          <w:color w:val="3B4259"/>
          <w:sz w:val="24"/>
        </w:rPr>
        <w:t>GLW vs. XLB vs. S&amp;P 500 — Indexed Performance Since Q1 2026 Earnings (April 28,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GLW (Indexed)</w:t>
            </w:r>
          </w:p>
        </w:tc>
        <w:tc>
          <w:tcPr>
            <w:tcW w:type="dxa" w:w="1728"/>
            <w:shd w:val="clear" w:color="auto" w:fill="3B4259"/>
          </w:tcPr>
          <w:p>
            <w:r>
              <w:rPr>
                <w:rFonts w:ascii="Calibri" w:hAnsi="Calibri"/>
                <w:b/>
                <w:color w:val="FFFFFF"/>
                <w:sz w:val="22"/>
              </w:rPr>
              <w:t>XLB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28,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 date)</w:t>
            </w:r>
          </w:p>
        </w:tc>
      </w:tr>
      <w:tr>
        <w:tc>
          <w:tcPr>
            <w:tcW w:type="dxa" w:w="1728"/>
          </w:tcPr>
          <w:p>
            <w:r>
              <w:rPr>
                <w:rFonts w:ascii="Calibri" w:hAnsi="Calibri"/>
                <w:sz w:val="22"/>
              </w:rPr>
              <w:t>May 6, 2026</w:t>
            </w:r>
          </w:p>
        </w:tc>
        <w:tc>
          <w:tcPr>
            <w:tcW w:type="dxa" w:w="1728"/>
          </w:tcPr>
          <w:p>
            <w:r>
              <w:rPr>
                <w:rFonts w:ascii="Calibri" w:hAnsi="Calibri"/>
                <w:sz w:val="22"/>
              </w:rPr>
              <w:t>118.6</w:t>
            </w:r>
          </w:p>
        </w:tc>
        <w:tc>
          <w:tcPr>
            <w:tcW w:type="dxa" w:w="1728"/>
          </w:tcPr>
          <w:p>
            <w:r>
              <w:rPr>
                <w:rFonts w:ascii="Calibri" w:hAnsi="Calibri"/>
                <w:sz w:val="22"/>
              </w:rPr>
              <w:t>102.0</w:t>
            </w:r>
          </w:p>
        </w:tc>
        <w:tc>
          <w:tcPr>
            <w:tcW w:type="dxa" w:w="1728"/>
          </w:tcPr>
          <w:p>
            <w:r>
              <w:rPr>
                <w:rFonts w:ascii="Calibri" w:hAnsi="Calibri"/>
                <w:sz w:val="22"/>
              </w:rPr>
              <w:t>103.1</w:t>
            </w:r>
          </w:p>
        </w:tc>
        <w:tc>
          <w:tcPr>
            <w:tcW w:type="dxa" w:w="1728"/>
          </w:tcPr>
          <w:p>
            <w:r>
              <w:rPr>
                <w:rFonts w:ascii="Calibri" w:hAnsi="Calibri"/>
                <w:sz w:val="22"/>
              </w:rPr>
              <w:t>Investor Day: Springboard upgrade to $30B/2028, $40B/2030; Nvidia partnership</w:t>
            </w:r>
          </w:p>
        </w:tc>
      </w:tr>
      <w:tr>
        <w:tc>
          <w:tcPr>
            <w:tcW w:type="dxa" w:w="1728"/>
          </w:tcPr>
          <w:p>
            <w:r>
              <w:rPr>
                <w:rFonts w:ascii="Calibri" w:hAnsi="Calibri"/>
                <w:sz w:val="22"/>
              </w:rPr>
              <w:t>May 11, 2026</w:t>
            </w:r>
          </w:p>
        </w:tc>
        <w:tc>
          <w:tcPr>
            <w:tcW w:type="dxa" w:w="1728"/>
          </w:tcPr>
          <w:p>
            <w:r>
              <w:rPr>
                <w:rFonts w:ascii="Calibri" w:hAnsi="Calibri"/>
                <w:sz w:val="22"/>
              </w:rPr>
              <w:t>135.5</w:t>
            </w:r>
          </w:p>
        </w:tc>
        <w:tc>
          <w:tcPr>
            <w:tcW w:type="dxa" w:w="1728"/>
          </w:tcPr>
          <w:p>
            <w:r>
              <w:rPr>
                <w:rFonts w:ascii="Calibri" w:hAnsi="Calibri"/>
                <w:sz w:val="22"/>
              </w:rPr>
              <w:t>101.7</w:t>
            </w:r>
          </w:p>
        </w:tc>
        <w:tc>
          <w:tcPr>
            <w:tcW w:type="dxa" w:w="1728"/>
          </w:tcPr>
          <w:p>
            <w:r>
              <w:rPr>
                <w:rFonts w:ascii="Calibri" w:hAnsi="Calibri"/>
                <w:sz w:val="22"/>
              </w:rPr>
              <w:t>103.9</w:t>
            </w:r>
          </w:p>
        </w:tc>
        <w:tc>
          <w:tcPr>
            <w:tcW w:type="dxa" w:w="1728"/>
          </w:tcPr>
          <w:p>
            <w:r>
              <w:rPr>
                <w:rFonts w:ascii="Calibri" w:hAnsi="Calibri"/>
                <w:sz w:val="22"/>
              </w:rPr>
              <w:t>Post-Investor Day peak (intra-period high)</w:t>
            </w:r>
          </w:p>
        </w:tc>
      </w:tr>
      <w:tr>
        <w:tc>
          <w:tcPr>
            <w:tcW w:type="dxa" w:w="1728"/>
          </w:tcPr>
          <w:p>
            <w:r>
              <w:rPr>
                <w:rFonts w:ascii="Calibri" w:hAnsi="Calibri"/>
                <w:sz w:val="22"/>
              </w:rPr>
              <w:t>May 19, 2026</w:t>
            </w:r>
          </w:p>
        </w:tc>
        <w:tc>
          <w:tcPr>
            <w:tcW w:type="dxa" w:w="1728"/>
          </w:tcPr>
          <w:p>
            <w:r>
              <w:rPr>
                <w:rFonts w:ascii="Calibri" w:hAnsi="Calibri"/>
                <w:sz w:val="22"/>
              </w:rPr>
              <w:t>114.9</w:t>
            </w:r>
          </w:p>
        </w:tc>
        <w:tc>
          <w:tcPr>
            <w:tcW w:type="dxa" w:w="1728"/>
          </w:tcPr>
          <w:p>
            <w:r>
              <w:rPr>
                <w:rFonts w:ascii="Calibri" w:hAnsi="Calibri"/>
                <w:sz w:val="22"/>
              </w:rPr>
              <w:t>95.4</w:t>
            </w:r>
          </w:p>
        </w:tc>
        <w:tc>
          <w:tcPr>
            <w:tcW w:type="dxa" w:w="1728"/>
          </w:tcPr>
          <w:p>
            <w:r>
              <w:rPr>
                <w:rFonts w:ascii="Calibri" w:hAnsi="Calibri"/>
                <w:sz w:val="22"/>
              </w:rPr>
              <w:t>103.1</w:t>
            </w:r>
          </w:p>
        </w:tc>
        <w:tc>
          <w:tcPr>
            <w:tcW w:type="dxa" w:w="1728"/>
          </w:tcPr>
          <w:p>
            <w:r>
              <w:rPr>
                <w:rFonts w:ascii="Calibri" w:hAnsi="Calibri"/>
                <w:sz w:val="22"/>
              </w:rPr>
              <w:t>JPMorgan TMC Conference (CFO &amp; COO present)</w:t>
            </w:r>
          </w:p>
        </w:tc>
      </w:tr>
      <w:tr>
        <w:tc>
          <w:tcPr>
            <w:tcW w:type="dxa" w:w="1728"/>
          </w:tcPr>
          <w:p>
            <w:r>
              <w:rPr>
                <w:rFonts w:ascii="Calibri" w:hAnsi="Calibri"/>
                <w:sz w:val="22"/>
              </w:rPr>
              <w:t>Jun 2, 2026</w:t>
            </w:r>
          </w:p>
        </w:tc>
        <w:tc>
          <w:tcPr>
            <w:tcW w:type="dxa" w:w="1728"/>
          </w:tcPr>
          <w:p>
            <w:r>
              <w:rPr>
                <w:rFonts w:ascii="Calibri" w:hAnsi="Calibri"/>
                <w:sz w:val="22"/>
              </w:rPr>
              <w:t>130.9</w:t>
            </w:r>
          </w:p>
        </w:tc>
        <w:tc>
          <w:tcPr>
            <w:tcW w:type="dxa" w:w="1728"/>
          </w:tcPr>
          <w:p>
            <w:r>
              <w:rPr>
                <w:rFonts w:ascii="Calibri" w:hAnsi="Calibri"/>
                <w:sz w:val="22"/>
              </w:rPr>
              <w:t>100.2</w:t>
            </w:r>
          </w:p>
        </w:tc>
        <w:tc>
          <w:tcPr>
            <w:tcW w:type="dxa" w:w="1728"/>
          </w:tcPr>
          <w:p>
            <w:r>
              <w:rPr>
                <w:rFonts w:ascii="Calibri" w:hAnsi="Calibri"/>
                <w:sz w:val="22"/>
              </w:rPr>
              <w:t>106.7</w:t>
            </w:r>
          </w:p>
        </w:tc>
        <w:tc>
          <w:tcPr>
            <w:tcW w:type="dxa" w:w="1728"/>
          </w:tcPr>
          <w:p>
            <w:r>
              <w:rPr>
                <w:rFonts w:ascii="Calibri" w:hAnsi="Calibri"/>
                <w:sz w:val="22"/>
              </w:rPr>
              <w:t>CIEN Q2 earnings (strong optical demand read-through)</w:t>
            </w:r>
          </w:p>
        </w:tc>
      </w:tr>
      <w:tr>
        <w:tc>
          <w:tcPr>
            <w:tcW w:type="dxa" w:w="1728"/>
          </w:tcPr>
          <w:p>
            <w:r>
              <w:rPr>
                <w:rFonts w:ascii="Calibri" w:hAnsi="Calibri"/>
                <w:sz w:val="22"/>
              </w:rPr>
              <w:t>Jun 30, 2026</w:t>
            </w:r>
          </w:p>
        </w:tc>
        <w:tc>
          <w:tcPr>
            <w:tcW w:type="dxa" w:w="1728"/>
          </w:tcPr>
          <w:p>
            <w:r>
              <w:rPr>
                <w:rFonts w:ascii="Calibri" w:hAnsi="Calibri"/>
                <w:sz w:val="22"/>
              </w:rPr>
              <w:t>167.0</w:t>
            </w:r>
          </w:p>
        </w:tc>
        <w:tc>
          <w:tcPr>
            <w:tcW w:type="dxa" w:w="1728"/>
          </w:tcPr>
          <w:p>
            <w:r>
              <w:rPr>
                <w:rFonts w:ascii="Calibri" w:hAnsi="Calibri"/>
                <w:sz w:val="22"/>
              </w:rPr>
              <w:t>98.9</w:t>
            </w:r>
          </w:p>
        </w:tc>
        <w:tc>
          <w:tcPr>
            <w:tcW w:type="dxa" w:w="1728"/>
          </w:tcPr>
          <w:p>
            <w:r>
              <w:rPr>
                <w:rFonts w:ascii="Calibri" w:hAnsi="Calibri"/>
                <w:sz w:val="22"/>
              </w:rPr>
              <w:t>104.9</w:t>
            </w:r>
          </w:p>
        </w:tc>
        <w:tc>
          <w:tcPr>
            <w:tcW w:type="dxa" w:w="1728"/>
          </w:tcPr>
          <w:p>
            <w:r>
              <w:rPr>
                <w:rFonts w:ascii="Calibri" w:hAnsi="Calibri"/>
                <w:sz w:val="22"/>
              </w:rPr>
              <w:t>GLW all-time high (~$255); peak vs. base +67%</w:t>
            </w:r>
          </w:p>
        </w:tc>
      </w:tr>
      <w:tr>
        <w:tc>
          <w:tcPr>
            <w:tcW w:type="dxa" w:w="1728"/>
          </w:tcPr>
          <w:p>
            <w:r>
              <w:rPr>
                <w:rFonts w:ascii="Calibri" w:hAnsi="Calibri"/>
                <w:sz w:val="22"/>
              </w:rPr>
              <w:t>Jul 16, 2026</w:t>
            </w:r>
          </w:p>
        </w:tc>
        <w:tc>
          <w:tcPr>
            <w:tcW w:type="dxa" w:w="1728"/>
          </w:tcPr>
          <w:p>
            <w:r>
              <w:rPr>
                <w:rFonts w:ascii="Calibri" w:hAnsi="Calibri"/>
                <w:sz w:val="22"/>
              </w:rPr>
              <w:t>103.5</w:t>
            </w:r>
          </w:p>
        </w:tc>
        <w:tc>
          <w:tcPr>
            <w:tcW w:type="dxa" w:w="1728"/>
          </w:tcPr>
          <w:p>
            <w:r>
              <w:rPr>
                <w:rFonts w:ascii="Calibri" w:hAnsi="Calibri"/>
                <w:sz w:val="22"/>
              </w:rPr>
              <w:t>99.0</w:t>
            </w:r>
          </w:p>
        </w:tc>
        <w:tc>
          <w:tcPr>
            <w:tcW w:type="dxa" w:w="1728"/>
          </w:tcPr>
          <w:p>
            <w:r>
              <w:rPr>
                <w:rFonts w:ascii="Calibri" w:hAnsi="Calibri"/>
                <w:sz w:val="22"/>
              </w:rPr>
              <w:t>105.5</w:t>
            </w:r>
          </w:p>
        </w:tc>
        <w:tc>
          <w:tcPr>
            <w:tcW w:type="dxa" w:w="1728"/>
          </w:tcPr>
          <w:p>
            <w:r>
              <w:rPr>
                <w:rFonts w:ascii="Calibri" w:hAnsi="Calibri"/>
                <w:sz w:val="22"/>
              </w:rPr>
              <w:t>Sharp reversal; stock -38% from Jun 30 peak</w:t>
            </w:r>
          </w:p>
        </w:tc>
      </w:tr>
      <w:tr>
        <w:tc>
          <w:tcPr>
            <w:tcW w:type="dxa" w:w="1728"/>
          </w:tcPr>
          <w:p>
            <w:r>
              <w:rPr>
                <w:rFonts w:ascii="Calibri" w:hAnsi="Calibri"/>
                <w:sz w:val="22"/>
              </w:rPr>
              <w:t>Jul 24, 2026</w:t>
            </w:r>
          </w:p>
        </w:tc>
        <w:tc>
          <w:tcPr>
            <w:tcW w:type="dxa" w:w="1728"/>
          </w:tcPr>
          <w:p>
            <w:r>
              <w:rPr>
                <w:rFonts w:ascii="Calibri" w:hAnsi="Calibri"/>
                <w:sz w:val="22"/>
              </w:rPr>
              <w:t>95.8</w:t>
            </w:r>
          </w:p>
        </w:tc>
        <w:tc>
          <w:tcPr>
            <w:tcW w:type="dxa" w:w="1728"/>
          </w:tcPr>
          <w:p>
            <w:r>
              <w:rPr>
                <w:rFonts w:ascii="Calibri" w:hAnsi="Calibri"/>
                <w:sz w:val="22"/>
              </w:rPr>
              <w:t>99.7</w:t>
            </w:r>
          </w:p>
        </w:tc>
        <w:tc>
          <w:tcPr>
            <w:tcW w:type="dxa" w:w="1728"/>
          </w:tcPr>
          <w:p>
            <w:r>
              <w:rPr>
                <w:rFonts w:ascii="Calibri" w:hAnsi="Calibri"/>
                <w:sz w:val="22"/>
              </w:rPr>
              <w:t>103.8</w:t>
            </w:r>
          </w:p>
        </w:tc>
        <w:tc>
          <w:tcPr>
            <w:tcW w:type="dxa" w:w="1728"/>
          </w:tcPr>
          <w:p>
            <w:r>
              <w:rPr>
                <w:rFonts w:ascii="Calibri" w:hAnsi="Calibri"/>
                <w:sz w:val="22"/>
              </w:rPr>
              <w:t>Last close before earnings; GLW -4.2% vs. base; XLB -0.3%; SPY +3.8%</w:t>
            </w:r>
          </w:p>
        </w:tc>
      </w:tr>
      <w:tr>
        <w:tc>
          <w:tcPr>
            <w:tcW w:type="dxa" w:w="1728"/>
          </w:tcPr>
          <w:p>
            <w:r>
              <w:rPr>
                <w:rFonts w:ascii="Calibri" w:hAnsi="Calibri"/>
                <w:sz w:val="22"/>
              </w:rPr>
              <w:t>Jul 28, 2026 (pre-earnings)</w:t>
            </w:r>
          </w:p>
        </w:tc>
        <w:tc>
          <w:tcPr>
            <w:tcW w:type="dxa" w:w="1728"/>
          </w:tcPr>
          <w:p>
            <w:r>
              <w:rPr>
                <w:rFonts w:ascii="Calibri" w:hAnsi="Calibri"/>
                <w:sz w:val="22"/>
              </w:rPr>
              <w:t>93.7</w:t>
            </w:r>
          </w:p>
        </w:tc>
        <w:tc>
          <w:tcPr>
            <w:tcW w:type="dxa" w:w="1728"/>
          </w:tcPr>
          <w:p>
            <w:r>
              <w:rPr>
                <w:rFonts w:ascii="Calibri" w:hAnsi="Calibri"/>
                <w:sz w:val="22"/>
              </w:rPr>
              <w:t>99.9</w:t>
            </w:r>
          </w:p>
        </w:tc>
        <w:tc>
          <w:tcPr>
            <w:tcW w:type="dxa" w:w="1728"/>
          </w:tcPr>
          <w:p>
            <w:r>
              <w:rPr>
                <w:rFonts w:ascii="Calibri" w:hAnsi="Calibri"/>
                <w:sz w:val="22"/>
              </w:rPr>
              <w:t>103.9</w:t>
            </w:r>
          </w:p>
        </w:tc>
        <w:tc>
          <w:tcPr>
            <w:tcW w:type="dxa" w:w="1728"/>
          </w:tcPr>
          <w:p>
            <w:r>
              <w:rPr>
                <w:rFonts w:ascii="Calibri" w:hAnsi="Calibri"/>
                <w:sz w:val="22"/>
              </w:rPr>
              <w:t>Earnings day open; GLW at $143.36</w:t>
            </w:r>
          </w:p>
        </w:tc>
      </w:tr>
    </w:tbl>
    <w:p>
      <w:r>
        <w:rPr>
          <w:rFonts w:ascii="Calibri" w:hAnsi="Calibri"/>
          <w:b/>
          <w:color w:val="525866"/>
          <w:sz w:val="22"/>
        </w:rPr>
        <w:t xml:space="preserve">Performance Summary: </w:t>
      </w:r>
      <w:r>
        <w:rPr>
          <w:rFonts w:ascii="Calibri" w:hAnsi="Calibri"/>
          <w:color w:val="525866"/>
          <w:sz w:val="22"/>
        </w:rPr>
        <w:t>From the Q1 earnings date (April 28) through July 24, GLW returned approximately -4.2% vs. XLB at -0.3% and SPY at +3.8%. However, this masks an extraordinary round-trip: GLW surged +67% to ~$255 by June 30 on the Springboard upgrade and Nvidia partnership euphoria, then reversed -44% to ~$147 by July 24. XLB was essentially flat over the full period, and SPY gained modestly. The GLW reversal is a sentiment/multiple unwind, not an earnings revision story — EPS estimates barely moved.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May 6 Investor Day Springboard upgrade and Nvidia partnership are the most consequential post-Q1 developments — they dramatically raised the long-term growth ceiling but also set a very high bar for execution. The subsequent stock reversal suggests the market is now questioning whether the targets are achievable on the timeline promised.</w:t>
      </w:r>
    </w:p>
    <w:p>
      <w:pPr>
        <w:pStyle w:val="ListBullet"/>
        <w:ind w:left="360" w:hanging="360"/>
      </w:pPr>
      <w:r>
        <w:rPr>
          <w:rFonts w:ascii="Calibri" w:hAnsi="Calibri"/>
          <w:b/>
          <w:color w:val="525866"/>
          <w:sz w:val="22"/>
        </w:rPr>
        <w:t>May 6, 2026 — Springboard Plan Upgraded &amp; Extended to 2030:</w:t>
      </w:r>
      <w:r>
        <w:rPr>
          <w:rFonts w:ascii="Calibri" w:hAnsi="Calibri"/>
          <w:color w:val="525866"/>
          <w:sz w:val="22"/>
        </w:rPr>
        <w:t xml:space="preserve"> Corning held an Investor Day at the NYSE and upgraded its internal Springboard plan to a $30B annualized sales run rate by end-2028 (from $11B incremental / ~$24.5B prior) and extended to $40B by end-2030. High-confidence plans: $27B by 2028, $35B by 2030. CAGR accelerates to 19% from 2027. Implication: Dramatically raised the long-term growth ceiling; also introduced a new Photonics MAP targeting $10B revenue by 2030 with initial contribution in 2027.</w:t>
      </w:r>
    </w:p>
    <w:p>
      <w:pPr>
        <w:pStyle w:val="ListBullet"/>
        <w:ind w:left="360" w:hanging="360"/>
      </w:pPr>
      <w:r>
        <w:rPr>
          <w:rFonts w:ascii="Calibri" w:hAnsi="Calibri"/>
          <w:b/>
          <w:color w:val="525866"/>
          <w:sz w:val="22"/>
        </w:rPr>
        <w:t>May 6, 2026 — Nvidia Partnership &amp; Warrant Sale ($500M):</w:t>
      </w:r>
      <w:r>
        <w:rPr>
          <w:rFonts w:ascii="Calibri" w:hAnsi="Calibri"/>
          <w:color w:val="525866"/>
          <w:sz w:val="22"/>
        </w:rPr>
        <w:t xml:space="preserve"> Corning sold $500M in warrants to Nvidia as part of a long-term technology and commercial partnership. The deal includes a multibillion-dollar prepayment, minimum purchase commitments, equity investment via pre-funded warrants, and a technology partnership granting Corning visibility into Nvidia’s roadmap. Corning is expanding U.S. fiber capacity by &gt;50% and optical connectivity capacity 10x under this agreement. Implication: Anchors the Photonics MAP and provides demand visibility; Nvidia named as the anchor OEM customer for co-packaged optics.</w:t>
      </w:r>
    </w:p>
    <w:p>
      <w:pPr>
        <w:pStyle w:val="ListBullet"/>
        <w:ind w:left="360" w:hanging="360"/>
      </w:pPr>
      <w:r>
        <w:rPr>
          <w:rFonts w:ascii="Calibri" w:hAnsi="Calibri"/>
          <w:b/>
          <w:color w:val="525866"/>
          <w:sz w:val="22"/>
        </w:rPr>
        <w:t>May 6, 2026 — 50% U.S. Fiber Capacity Expansion Announced:</w:t>
      </w:r>
      <w:r>
        <w:rPr>
          <w:rFonts w:ascii="Calibri" w:hAnsi="Calibri"/>
          <w:color w:val="525866"/>
          <w:sz w:val="22"/>
        </w:rPr>
        <w:t xml:space="preserve"> Corning announced it is expanding U.S. fiber production capacity by more than 50% to support Gen AI scale-out and scale-up network growth. Implication: Signals confidence in sustained demand but also raises CapEx and execution risk.</w:t>
      </w:r>
    </w:p>
    <w:p>
      <w:pPr>
        <w:pStyle w:val="ListBullet"/>
        <w:ind w:left="360" w:hanging="360"/>
      </w:pPr>
      <w:r>
        <w:rPr>
          <w:rFonts w:ascii="Calibri" w:hAnsi="Calibri"/>
          <w:b/>
          <w:color w:val="525866"/>
          <w:sz w:val="22"/>
        </w:rPr>
        <w:t>May 15, 2026 — JPMorgan TMC Conference (CFO &amp; COO Present):</w:t>
      </w:r>
      <w:r>
        <w:rPr>
          <w:rFonts w:ascii="Calibri" w:hAnsi="Calibri"/>
          <w:color w:val="525866"/>
          <w:sz w:val="22"/>
        </w:rPr>
        <w:t xml:space="preserve"> CFO Ed Schlesinger and COO Hal Nelson presented business updates at the JPMorgan 2026 Global Technology, Media and Communications Conference. No material guidance changes were disclosed in the 8-K filing. Implication: Opportunity for management to reinforce Springboard messaging post-Investor Day; no incremental negative signals.</w:t>
      </w:r>
    </w:p>
    <w:p>
      <w:pPr>
        <w:pStyle w:val="ListBullet"/>
        <w:ind w:left="360" w:hanging="360"/>
      </w:pPr>
      <w:r>
        <w:rPr>
          <w:rFonts w:ascii="Calibri" w:hAnsi="Calibri"/>
          <w:b/>
          <w:color w:val="525866"/>
          <w:sz w:val="22"/>
        </w:rPr>
        <w:t>April 28, 2026 — New Segment Reporting Structure Introduced:</w:t>
      </w:r>
      <w:r>
        <w:rPr>
          <w:rFonts w:ascii="Calibri" w:hAnsi="Calibri"/>
          <w:color w:val="525866"/>
          <w:sz w:val="22"/>
        </w:rPr>
        <w:t xml:space="preserve"> Corning restructured its segment reporting effective Q1 2026: Solar is now a standalone segment; Display and Specialty Materials are combined into “Glass Innovations.” Historical data was recast. Implication: Increases transparency on the solar ramp (and its drag) but makes historical comparisons less straightforward.</w:t>
      </w:r>
    </w:p>
    <w:p>
      <w:pPr>
        <w:pStyle w:val="ListBullet"/>
        <w:ind w:left="360" w:hanging="360"/>
      </w:pPr>
      <w:r>
        <w:rPr>
          <w:rFonts w:ascii="Calibri" w:hAnsi="Calibri"/>
          <w:b/>
          <w:color w:val="525866"/>
          <w:sz w:val="22"/>
        </w:rPr>
        <w:t>April 28, 2026 — Two Additional Hyperscale Agreements Announced:</w:t>
      </w:r>
      <w:r>
        <w:rPr>
          <w:rFonts w:ascii="Calibri" w:hAnsi="Calibri"/>
          <w:color w:val="525866"/>
          <w:sz w:val="22"/>
        </w:rPr>
        <w:t xml:space="preserve"> Beyond the Meta deal (up to $6B), Corning announced two more large, long-term hyperscale agreements each “similar in size and duration” to the Meta deal. One is the Nvidia partnership; the second unnamed hyperscaler remains undisclosed. Implication: Provides strong demand visibility for Optical Communications capacity expansion; risk-sharing structure limits Corning’s downside.</w:t>
      </w:r>
    </w:p>
    <w:p>
      <w:pPr>
        <w:pStyle w:val="ListBullet"/>
        <w:ind w:left="360" w:hanging="360"/>
      </w:pPr>
      <w:r>
        <w:rPr>
          <w:rFonts w:ascii="Calibri" w:hAnsi="Calibri"/>
          <w:b/>
          <w:color w:val="525866"/>
          <w:sz w:val="22"/>
        </w:rPr>
        <w:t>June 30, 2026 — GLW Reaches All-Time High (~$255):</w:t>
      </w:r>
      <w:r>
        <w:rPr>
          <w:rFonts w:ascii="Calibri" w:hAnsi="Calibri"/>
          <w:color w:val="525866"/>
          <w:sz w:val="22"/>
        </w:rPr>
        <w:t xml:space="preserve"> Stock peaked at ~$255, up ~67% from the Q1 earnings date, driven by Springboard upgrade euphoria and Nvidia partnership. Implication: Set an extremely high bar for the stock; subsequent -44% reversal to ~$143 by July 28 reflects multiple compression and sentiment unwind.</w:t>
      </w:r>
    </w:p>
    <w:p>
      <w:pPr>
        <w:pStyle w:val="ListBullet"/>
        <w:ind w:left="360" w:hanging="360"/>
      </w:pPr>
      <w:r>
        <w:rPr>
          <w:rFonts w:ascii="Calibri" w:hAnsi="Calibri"/>
          <w:b/>
          <w:color w:val="525866"/>
          <w:sz w:val="22"/>
        </w:rPr>
        <w:t>July 24, 2026 — Pre-Earnings News Digest:</w:t>
      </w:r>
      <w:r>
        <w:rPr>
          <w:rFonts w:ascii="Calibri" w:hAnsi="Calibri"/>
          <w:color w:val="525866"/>
          <w:sz w:val="22"/>
        </w:rPr>
        <w:t xml:space="preserve"> Street expectations heading into Q2 call: total revenue growth of 14.7% to $4.63B, Optical Communications revenue projected to grow 27.3% to $1.99B. Sentiment described as “extremely bullish” on secular demand tailwinds but creating a “challenging setup for upside surprises.”</w:t>
      </w:r>
    </w:p>
    <w:p>
      <w:r>
        <w:br w:type="page"/>
      </w:r>
    </w:p>
    <w:p>
      <w:pPr>
        <w:pStyle w:val="Heading2"/>
      </w:pPr>
      <w:r>
        <w:rPr>
          <w:rFonts w:ascii="Calibri" w:hAnsi="Calibri"/>
          <w:b/>
          <w:color w:val="3B4259"/>
          <w:sz w:val="28"/>
        </w:rPr>
        <w:t>7. Peer Commentaries — Current-Quarter Read-Throughs (Last 60 Days)</w:t>
      </w:r>
    </w:p>
    <w:p>
      <w:r>
        <w:rPr>
          <w:rFonts w:ascii="Calibri" w:hAnsi="Calibri"/>
          <w:b/>
          <w:color w:val="525866"/>
          <w:sz w:val="22"/>
        </w:rPr>
        <w:t xml:space="preserve">Key Takeaway: </w:t>
      </w:r>
      <w:r>
        <w:rPr>
          <w:rFonts w:ascii="Calibri" w:hAnsi="Calibri"/>
          <w:color w:val="525866"/>
          <w:sz w:val="22"/>
        </w:rPr>
        <w:t>All three peers — Ciena (CIEN), Broadcom (AVGO), and Dell (DELL) — reported in the last 60 days and provided forward-looking commentary that is uniformly bullish on AI-driven optical and data center infrastructure demand. The read-through for GLW’s Optical Communications segment is strongly positive: hyperscaler CapEx is accelerating, backlog is building, and supply remains constrained. The key limitation is that none of these peers directly competes with or buys from Corning’s fiber/cable business, so the read-through is directional, not quantitative.</w:t>
      </w:r>
    </w:p>
    <w:p>
      <w:r>
        <w:rPr>
          <w:rFonts w:ascii="Calibri" w:hAnsi="Calibri"/>
          <w:b/>
          <w:color w:val="525866"/>
          <w:sz w:val="22"/>
        </w:rPr>
        <w:t xml:space="preserve">Methodology Note: </w:t>
      </w:r>
      <w:r>
        <w:rPr>
          <w:rFonts w:ascii="Calibri" w:hAnsi="Calibri"/>
          <w:color w:val="525866"/>
          <w:sz w:val="22"/>
        </w:rPr>
        <w:t>Only forward-looking commentary about the current reporting period (Q2 2026 calendar quarter) or future periods is included below. Backward-looking results commentary from these peers’ own prior quarters has been excluded. All commentary is from earnings calls and releases filed within the last 60 days (May 28 – July 27, 2026).</w:t>
      </w:r>
    </w:p>
    <w:p>
      <w:pPr>
        <w:pStyle w:val="Heading3"/>
      </w:pPr>
      <w:r>
        <w:rPr>
          <w:rFonts w:ascii="Calibri" w:hAnsi="Calibri"/>
          <w:b/>
          <w:color w:val="3B4259"/>
          <w:sz w:val="24"/>
        </w:rPr>
        <w:t>7A. Ciena Corporation (CIEN) — Fiscal Q2 2026 Earnings (June 4, 2026)</w:t>
      </w:r>
    </w:p>
    <w:p>
      <w:r>
        <w:rPr>
          <w:rFonts w:ascii="Calibri" w:hAnsi="Calibri"/>
          <w:b/>
          <w:color w:val="525866"/>
          <w:sz w:val="22"/>
        </w:rPr>
        <w:t xml:space="preserve">Relevance to GLW: </w:t>
      </w:r>
      <w:r>
        <w:rPr>
          <w:rFonts w:ascii="Calibri" w:hAnsi="Calibri"/>
          <w:color w:val="525866"/>
          <w:sz w:val="22"/>
        </w:rPr>
        <w:t>CIEN is a leading optical networking equipment provider whose demand for systems directly implies demand for the optical fiber and cable that Corning supplies. CIEN’s fiscal Q2 2026 ended May 3, 2026, making its forward guidance directly applicable to GLW’s Q2 2026 (calendar quarter ending June 30).</w:t>
      </w:r>
    </w:p>
    <w:p>
      <w:pPr>
        <w:pStyle w:val="Heading4"/>
      </w:pPr>
      <w:r>
        <w:rPr>
          <w:rFonts w:ascii="Calibri" w:hAnsi="Calibri"/>
          <w:b/>
          <w:color w:val="3B4259"/>
          <w:sz w:val="22"/>
        </w:rPr>
        <w:t>Forward-Looking Commentary (Applicable to GLW Q2 2026 and Beyond)</w:t>
      </w:r>
    </w:p>
    <w:p>
      <w:pPr>
        <w:pStyle w:val="ListBullet"/>
        <w:ind w:left="360" w:hanging="360"/>
      </w:pPr>
      <w:r>
        <w:rPr>
          <w:rFonts w:ascii="Calibri" w:hAnsi="Calibri"/>
          <w:b/>
          <w:color w:val="525866"/>
          <w:sz w:val="22"/>
        </w:rPr>
        <w:t>Hyperscaler CapEx Accelerating:</w:t>
      </w:r>
      <w:r>
        <w:rPr>
          <w:rFonts w:ascii="Calibri" w:hAnsi="Calibri"/>
          <w:color w:val="525866"/>
          <w:sz w:val="22"/>
        </w:rPr>
        <w:t xml:space="preserve"> “Since we spoke to you last in March, the largest hyperscalers have increased their 2026 capital expenditures with indications of continued expansion into 2027 and beyond.” A larger proportion of this spend is expected to be directed towards network infrastructure to monetize constrained compute investments. Read-through: Directly positive for GLW Optical Communications — more hyperscaler CapEx on networking = more fiber and cable demand.</w:t>
      </w:r>
    </w:p>
    <w:p>
      <w:pPr>
        <w:pStyle w:val="ListBullet"/>
        <w:ind w:left="360" w:hanging="360"/>
      </w:pPr>
      <w:r>
        <w:rPr>
          <w:rFonts w:ascii="Calibri" w:hAnsi="Calibri"/>
          <w:b/>
          <w:color w:val="525866"/>
          <w:sz w:val="22"/>
        </w:rPr>
        <w:t>Addressable Market Doubling:</w:t>
      </w:r>
      <w:r>
        <w:rPr>
          <w:rFonts w:ascii="Calibri" w:hAnsi="Calibri"/>
          <w:color w:val="525866"/>
          <w:sz w:val="22"/>
        </w:rPr>
        <w:t xml:space="preserve"> CIEN’s latest view is that the addressable market will “approximately double over the next several years to roughly $50 billion by 2029,” including traditional WAN markets and high-growth markets in and around the data center. Read-through: Validates GLW’s Springboard growth targets and the long-term optical infrastructure build-out thesis.</w:t>
      </w:r>
    </w:p>
    <w:p>
      <w:pPr>
        <w:pStyle w:val="ListBullet"/>
        <w:ind w:left="360" w:hanging="360"/>
      </w:pPr>
      <w:r>
        <w:rPr>
          <w:rFonts w:ascii="Calibri" w:hAnsi="Calibri"/>
          <w:b/>
          <w:color w:val="525866"/>
          <w:sz w:val="22"/>
        </w:rPr>
        <w:t>Service Providers Reinvesting:</w:t>
      </w:r>
      <w:r>
        <w:rPr>
          <w:rFonts w:ascii="Calibri" w:hAnsi="Calibri"/>
          <w:color w:val="525866"/>
          <w:sz w:val="22"/>
        </w:rPr>
        <w:t xml:space="preserve"> “Service providers are also reinvesting in network infrastructure after several years,” creating new opportunities across long-haul metro and managed optical fiber networks (MOFN). Read-through: Positive for GLW’s Carrier Networks sub-segment, which grew 36% YoY in Q1 2026.</w:t>
      </w:r>
    </w:p>
    <w:p>
      <w:pPr>
        <w:pStyle w:val="ListBullet"/>
        <w:ind w:left="360" w:hanging="360"/>
      </w:pPr>
      <w:r>
        <w:rPr>
          <w:rFonts w:ascii="Calibri" w:hAnsi="Calibri"/>
          <w:b/>
          <w:color w:val="525866"/>
          <w:sz w:val="22"/>
        </w:rPr>
        <w:t>Backlog Surging — $7.7B and Growing:</w:t>
      </w:r>
      <w:r>
        <w:rPr>
          <w:rFonts w:ascii="Calibri" w:hAnsi="Calibri"/>
          <w:color w:val="525866"/>
          <w:sz w:val="22"/>
        </w:rPr>
        <w:t xml:space="preserve"> CIEN’s backlog increased by more than $600M sequentially to $7.7B in Q2, with the company expecting to “exit the year with even higher backlog.” ~80% of the $6.4B hardware backlog expected to be delivered in the next 12 months. Read-through: Strong order visibility for optical systems implies sustained demand for fiber and cable components.</w:t>
      </w:r>
    </w:p>
    <w:p>
      <w:pPr>
        <w:pStyle w:val="ListBullet"/>
        <w:ind w:left="360" w:hanging="360"/>
      </w:pPr>
      <w:r>
        <w:rPr>
          <w:rFonts w:ascii="Calibri" w:hAnsi="Calibri"/>
          <w:b/>
          <w:color w:val="525866"/>
          <w:sz w:val="22"/>
        </w:rPr>
        <w:t>Supply Imbalance Persists:</w:t>
      </w:r>
      <w:r>
        <w:rPr>
          <w:rFonts w:ascii="Calibri" w:hAnsi="Calibri"/>
          <w:color w:val="525866"/>
          <w:sz w:val="22"/>
        </w:rPr>
        <w:t xml:space="preserve"> “We continue to see an imbalance of supply not keeping pace with demand.” Specific constraints noted in modems (CDMs) and pump lasers. Read-through: Tight supply environment generally supports pricing power for component suppliers like GLW; the specific constraints (modems, pump lasers) are not GLW’s products, so GLW is not directly constrained.</w:t>
      </w:r>
    </w:p>
    <w:p>
      <w:pPr>
        <w:pStyle w:val="ListBullet"/>
        <w:ind w:left="360" w:hanging="360"/>
      </w:pPr>
      <w:r>
        <w:rPr>
          <w:rFonts w:ascii="Calibri" w:hAnsi="Calibri"/>
          <w:b/>
          <w:color w:val="525866"/>
          <w:sz w:val="22"/>
        </w:rPr>
        <w:t>FY 2026 Revenue Guidance Raised to $6.3B (+32% YoY):</w:t>
      </w:r>
      <w:r>
        <w:rPr>
          <w:rFonts w:ascii="Calibri" w:hAnsi="Calibri"/>
          <w:color w:val="525866"/>
          <w:sz w:val="22"/>
        </w:rPr>
        <w:t xml:space="preserve"> CIEN raised full-year FY 2026 revenue guidance to $6.3B ± $100M, representing 32% YoY growth at the midpoint. Q3 FY 2026 guidance: $1.625B ± $50M. Read-through: Sustained strong growth in optical networking systems implies continued strong demand for GLW’s fiber and cable products through the remainder of 2026.</w:t>
      </w:r>
    </w:p>
    <w:p>
      <w:pPr>
        <w:pStyle w:val="ListBullet"/>
        <w:ind w:left="360" w:hanging="360"/>
      </w:pPr>
      <w:r>
        <w:rPr>
          <w:rFonts w:ascii="Calibri" w:hAnsi="Calibri"/>
          <w:b/>
          <w:color w:val="525866"/>
          <w:sz w:val="22"/>
        </w:rPr>
        <w:t>Co-Packaged Optics (CPO) Momentum:</w:t>
      </w:r>
      <w:r>
        <w:rPr>
          <w:rFonts w:ascii="Calibri" w:hAnsi="Calibri"/>
          <w:color w:val="525866"/>
          <w:sz w:val="22"/>
        </w:rPr>
        <w:t xml:space="preserve"> CIEN’s Nubis Vesta 200 6.4T (optical engine for CPO use cases) is seeing “increased industry momentum and demand for open ecosystems.” CPO ramp expected to be meaningful in 2027–2028. Read-through: Directly relevant to GLW’s new Photonics MAP, which targets CPO and near-package optics as a $10B revenue opportunity by 2030.</w:t>
      </w:r>
    </w:p>
    <w:p>
      <w:r>
        <w:rPr>
          <w:rFonts w:ascii="Calibri" w:hAnsi="Calibri"/>
          <w:b/>
          <w:color w:val="525866"/>
          <w:sz w:val="22"/>
        </w:rPr>
        <w:t xml:space="preserve">Limitations: </w:t>
      </w:r>
      <w:r>
        <w:rPr>
          <w:rFonts w:ascii="Calibri" w:hAnsi="Calibri"/>
          <w:color w:val="525866"/>
          <w:sz w:val="22"/>
        </w:rPr>
        <w:t>CIEN sells optical networking systems and active components; GLW sells passive fiber and cable. The correlation is directional, not one-to-one. CIEN’s supply constraints (modems, pump lasers) are not GLW’s products. CIEN’s pricing discussions involve negotiations with its own suppliers, which could limit GLW’s ability to raise prices even in a strong demand environment.</w:t>
      </w:r>
    </w:p>
    <w:p>
      <w:pPr>
        <w:pStyle w:val="Heading3"/>
      </w:pPr>
      <w:r>
        <w:rPr>
          <w:rFonts w:ascii="Calibri" w:hAnsi="Calibri"/>
          <w:b/>
          <w:color w:val="3B4259"/>
          <w:sz w:val="24"/>
        </w:rPr>
        <w:t>7B. Broadcom Inc. (AVGO) — Fiscal Q2 2026 Earnings (June 3, 2026)</w:t>
      </w:r>
    </w:p>
    <w:p>
      <w:r>
        <w:rPr>
          <w:rFonts w:ascii="Calibri" w:hAnsi="Calibri"/>
          <w:b/>
          <w:color w:val="525866"/>
          <w:sz w:val="22"/>
        </w:rPr>
        <w:t xml:space="preserve">Relevance to GLW: </w:t>
      </w:r>
      <w:r>
        <w:rPr>
          <w:rFonts w:ascii="Calibri" w:hAnsi="Calibri"/>
          <w:color w:val="525866"/>
          <w:sz w:val="22"/>
        </w:rPr>
        <w:t>AVGO is the leading AI semiconductor and networking chip provider. Its forward-looking commentary on AI data center build-out scale, networking demand, and co-packaged optics is the most direct read-through for GLW’s Optical Communications and nascent Photonics MAP segments. AVGO’s fiscal Q2 2026 ended May 4, 2026; its forward guidance covers the period directly overlapping with GLW’s Q2 2026.</w:t>
      </w:r>
    </w:p>
    <w:p>
      <w:pPr>
        <w:pStyle w:val="Heading4"/>
      </w:pPr>
      <w:r>
        <w:rPr>
          <w:rFonts w:ascii="Calibri" w:hAnsi="Calibri"/>
          <w:b/>
          <w:color w:val="3B4259"/>
          <w:sz w:val="22"/>
        </w:rPr>
        <w:t>Forward-Looking Commentary (Applicable to GLW Q2 2026 and Beyond)</w:t>
      </w:r>
    </w:p>
    <w:p>
      <w:pPr>
        <w:pStyle w:val="ListBullet"/>
        <w:ind w:left="360" w:hanging="360"/>
      </w:pPr>
      <w:r>
        <w:rPr>
          <w:rFonts w:ascii="Calibri" w:hAnsi="Calibri"/>
          <w:b/>
          <w:color w:val="525866"/>
          <w:sz w:val="22"/>
        </w:rPr>
        <w:t>AI Semiconductor Revenue Doubling in H2 2026:</w:t>
      </w:r>
      <w:r>
        <w:rPr>
          <w:rFonts w:ascii="Calibri" w:hAnsi="Calibri"/>
          <w:color w:val="525866"/>
          <w:sz w:val="22"/>
        </w:rPr>
        <w:t xml:space="preserve"> AVGO expects AI semiconductor revenue to “double from the first half” in H2 2026, with full-year FY 2026 AI semiconductor revenue of $56B (+180% YoY). FY 2027 guidance reiterated at “in excess of $100 billion.” Read-through: The scale of AI compute deployment directly drives demand for optical interconnects and fiber infrastructure — every gigawatt of compute requires extensive optical cabling.</w:t>
      </w:r>
    </w:p>
    <w:p>
      <w:pPr>
        <w:pStyle w:val="ListBullet"/>
        <w:ind w:left="360" w:hanging="360"/>
      </w:pPr>
      <w:r>
        <w:rPr>
          <w:rFonts w:ascii="Calibri" w:hAnsi="Calibri"/>
          <w:b/>
          <w:color w:val="525866"/>
          <w:sz w:val="22"/>
        </w:rPr>
        <w:t>Gigawatt Deployments Accelerating:</w:t>
      </w:r>
      <w:r>
        <w:rPr>
          <w:rFonts w:ascii="Calibri" w:hAnsi="Calibri"/>
          <w:color w:val="525866"/>
          <w:sz w:val="22"/>
        </w:rPr>
        <w:t xml:space="preserve"> AVGO is “planning to ship 10 gigawatts in ’27” with the trajectory “back half loaded,” providing “an interesting trajectory into ’28 with a lot more gigawatts.” The AI XPV platform (with Apollo and Blackstone) targets “more than 20 gigawatts of compute capacity through 2028.” Read-through: Each gigawatt of AI compute requires extensive fiber optic infrastructure; the scale of deployment is directly positive for GLW’s Optical Communications capacity expansion.</w:t>
      </w:r>
    </w:p>
    <w:p>
      <w:pPr>
        <w:pStyle w:val="ListBullet"/>
        <w:ind w:left="360" w:hanging="360"/>
      </w:pPr>
      <w:r>
        <w:rPr>
          <w:rFonts w:ascii="Calibri" w:hAnsi="Calibri"/>
          <w:b/>
          <w:color w:val="525866"/>
          <w:sz w:val="22"/>
        </w:rPr>
        <w:t>Networking Demand ‘Simply Insatiable’:</w:t>
      </w:r>
      <w:r>
        <w:rPr>
          <w:rFonts w:ascii="Calibri" w:hAnsi="Calibri"/>
          <w:color w:val="525866"/>
          <w:sz w:val="22"/>
        </w:rPr>
        <w:t xml:space="preserve"> “Demand for XPUs and networking is simply insatiable.” AVGO is taping out its next-generation 200 terabit Ethernet switch (Tomahawk successor) and shipping the industry’s only 100 terabit switch (Tomahawk 6) for over a year. Read-through: Higher-speed switches require higher-density, higher-bandwidth fiber connections — positive for GLW’s premium fiber products.</w:t>
      </w:r>
    </w:p>
    <w:p>
      <w:pPr>
        <w:pStyle w:val="ListBullet"/>
        <w:ind w:left="360" w:hanging="360"/>
      </w:pPr>
      <w:r>
        <w:rPr>
          <w:rFonts w:ascii="Calibri" w:hAnsi="Calibri"/>
          <w:b/>
          <w:color w:val="525866"/>
          <w:sz w:val="22"/>
        </w:rPr>
        <w:t>Co-Packaged Optics (CPO) — AVGO is ‘De Facto Standard’:</w:t>
      </w:r>
      <w:r>
        <w:rPr>
          <w:rFonts w:ascii="Calibri" w:hAnsi="Calibri"/>
          <w:color w:val="525866"/>
          <w:sz w:val="22"/>
        </w:rPr>
        <w:t xml:space="preserve"> “In CPOs, which is co-packaged optics, 1.6 terabit DSPs, CW and EML lasers, we are the de facto standard in the industry.” Read-through: AVGO’s CPO leadership is directly relevant to GLW’s Photonics MAP — GLW’s Nvidia partnership specifically targets CPO and near-package optics, and AVGO’s dominance in CPO chips validates the market opportunity GLW is targeting.</w:t>
      </w:r>
    </w:p>
    <w:p>
      <w:pPr>
        <w:pStyle w:val="ListBullet"/>
        <w:ind w:left="360" w:hanging="360"/>
      </w:pPr>
      <w:r>
        <w:rPr>
          <w:rFonts w:ascii="Calibri" w:hAnsi="Calibri"/>
          <w:b/>
          <w:color w:val="525866"/>
          <w:sz w:val="22"/>
        </w:rPr>
        <w:t>Visibility Extended to 2028:</w:t>
      </w:r>
      <w:r>
        <w:rPr>
          <w:rFonts w:ascii="Calibri" w:hAnsi="Calibri"/>
          <w:color w:val="525866"/>
          <w:sz w:val="22"/>
        </w:rPr>
        <w:t xml:space="preserve"> “Our visibility runs all the way to 2028 right now.” Customers are placing orders “early and in fairly huge demand,” providing “a lot more visibility than we normally otherwise would have in semiconductors.” Read-through: Extended customer visibility at the chip level implies similar long-term demand visibility for the fiber and cable infrastructure that supports these deployments.</w:t>
      </w:r>
    </w:p>
    <w:p>
      <w:pPr>
        <w:pStyle w:val="ListBullet"/>
        <w:ind w:left="360" w:hanging="360"/>
      </w:pPr>
      <w:r>
        <w:rPr>
          <w:rFonts w:ascii="Calibri" w:hAnsi="Calibri"/>
          <w:b/>
          <w:color w:val="525866"/>
          <w:sz w:val="22"/>
        </w:rPr>
        <w:t>Hyperscaler Partnerships Expanding:</w:t>
      </w:r>
      <w:r>
        <w:rPr>
          <w:rFonts w:ascii="Calibri" w:hAnsi="Calibri"/>
          <w:color w:val="525866"/>
          <w:sz w:val="22"/>
        </w:rPr>
        <w:t xml:space="preserve"> Long-term agreements with Google (TPUs + AI networking), Anthropic (5 gigawatts from 2027), OpenAI (1.3 gigawatts in 2027), and Meta (3 gigawatts through 2028). Read-through: These are the same hyperscalers that have signed agreements with GLW (Meta explicitly; two others unnamed). The scale of compute commitments validates the optical infrastructure investment cycle.</w:t>
      </w:r>
    </w:p>
    <w:p>
      <w:pPr>
        <w:pStyle w:val="ListBullet"/>
        <w:ind w:left="360" w:hanging="360"/>
      </w:pPr>
      <w:r>
        <w:rPr>
          <w:rFonts w:ascii="Calibri" w:hAnsi="Calibri"/>
          <w:b/>
          <w:color w:val="525866"/>
          <w:sz w:val="22"/>
        </w:rPr>
        <w:t>AI Bookings of $30B+ in Q2 vs. $10.8B Shipped:</w:t>
      </w:r>
      <w:r>
        <w:rPr>
          <w:rFonts w:ascii="Calibri" w:hAnsi="Calibri"/>
          <w:color w:val="525866"/>
          <w:sz w:val="22"/>
        </w:rPr>
        <w:t xml:space="preserve"> AI semiconductor bookings exceeded $30B against $10.8B shipped in Q2, with the pipeline “growing at greater than historical rates.” Read-through: The book-to-bill ratio of ~2.8x implies a sustained multi-quarter demand backlog that will require ongoing optical infrastructure build-out.</w:t>
      </w:r>
    </w:p>
    <w:p>
      <w:r>
        <w:rPr>
          <w:rFonts w:ascii="Calibri" w:hAnsi="Calibri"/>
          <w:b/>
          <w:color w:val="525866"/>
          <w:sz w:val="22"/>
        </w:rPr>
        <w:t xml:space="preserve">Limitations: </w:t>
      </w:r>
      <w:r>
        <w:rPr>
          <w:rFonts w:ascii="Calibri" w:hAnsi="Calibri"/>
          <w:color w:val="525866"/>
          <w:sz w:val="22"/>
        </w:rPr>
        <w:t>AVGO sells semiconductor chips and networking ASICs; GLW sells passive fiber and cable. The read-through is indirect — AVGO’s chip demand implies data center build-out, which implies fiber demand, but the timing and magnitude of the translation is not linear. AVGO’s CPO leadership could theoretically reduce the need for external fiber connections in some architectures, though GLW’s Photonics MAP is specifically designed to participate in CPO rather than be displaced by it.</w:t>
      </w:r>
    </w:p>
    <w:p>
      <w:pPr>
        <w:pStyle w:val="Heading3"/>
      </w:pPr>
      <w:r>
        <w:rPr>
          <w:rFonts w:ascii="Calibri" w:hAnsi="Calibri"/>
          <w:b/>
          <w:color w:val="3B4259"/>
          <w:sz w:val="24"/>
        </w:rPr>
        <w:t>7C. Dell Technologies (DELL) — Fiscal Q1 FY2027 Earnings (May 28, 2026)</w:t>
      </w:r>
    </w:p>
    <w:p>
      <w:r>
        <w:rPr>
          <w:rFonts w:ascii="Calibri" w:hAnsi="Calibri"/>
          <w:b/>
          <w:color w:val="525866"/>
          <w:sz w:val="22"/>
        </w:rPr>
        <w:t xml:space="preserve">Relevance to GLW: </w:t>
      </w:r>
      <w:r>
        <w:rPr>
          <w:rFonts w:ascii="Calibri" w:hAnsi="Calibri"/>
          <w:color w:val="525866"/>
          <w:sz w:val="22"/>
        </w:rPr>
        <w:t>DELL is the largest provider of AI server infrastructure and a key indicator of enterprise and hyperscaler data center investment. Its fiscal Q1 FY2027 ended May 2, 2026; its forward guidance for Q2 FY2027 and full-year FY2027 covers the period overlapping with GLW’s Q2 2026 and H2 2026.</w:t>
      </w:r>
    </w:p>
    <w:p>
      <w:pPr>
        <w:pStyle w:val="Heading4"/>
      </w:pPr>
      <w:r>
        <w:rPr>
          <w:rFonts w:ascii="Calibri" w:hAnsi="Calibri"/>
          <w:b/>
          <w:color w:val="3B4259"/>
          <w:sz w:val="22"/>
        </w:rPr>
        <w:t>Forward-Looking Commentary (Applicable to GLW Q2 2026 and Beyond)</w:t>
      </w:r>
    </w:p>
    <w:p>
      <w:pPr>
        <w:pStyle w:val="ListBullet"/>
        <w:ind w:left="360" w:hanging="360"/>
      </w:pPr>
      <w:r>
        <w:rPr>
          <w:rFonts w:ascii="Calibri" w:hAnsi="Calibri"/>
          <w:b/>
          <w:color w:val="525866"/>
          <w:sz w:val="22"/>
        </w:rPr>
        <w:t>Record AI Backlog of $51.3B:</w:t>
      </w:r>
      <w:r>
        <w:rPr>
          <w:rFonts w:ascii="Calibri" w:hAnsi="Calibri"/>
          <w:color w:val="525866"/>
          <w:sz w:val="22"/>
        </w:rPr>
        <w:t xml:space="preserve"> DELL exited Q1 FY2027 with a record $51.3B AI backlog, with the pipeline “growing at greater than historical rates” and remaining “multiples of our backlog.” Q2 FY2027 ISG (Infrastructure Solutions Group) expected to grow ~75%, supported by $15.5B in AI server revenue. Read-through: The scale of AI server deployments directly drives demand for optical fiber and cable to connect servers within and between data centers.</w:t>
      </w:r>
    </w:p>
    <w:p>
      <w:pPr>
        <w:pStyle w:val="ListBullet"/>
        <w:ind w:left="360" w:hanging="360"/>
      </w:pPr>
      <w:r>
        <w:rPr>
          <w:rFonts w:ascii="Calibri" w:hAnsi="Calibri"/>
          <w:b/>
          <w:color w:val="525866"/>
          <w:sz w:val="22"/>
        </w:rPr>
        <w:t>Full-Year FY2027 AI Server Revenue of ~$60B (+2.4x YoY):</w:t>
      </w:r>
      <w:r>
        <w:rPr>
          <w:rFonts w:ascii="Calibri" w:hAnsi="Calibri"/>
          <w:color w:val="525866"/>
          <w:sz w:val="22"/>
        </w:rPr>
        <w:t xml:space="preserve"> DELL expects ISG to grow ~80% for full-year FY2027, driven by $60B of AI server revenue at the midpoint. Read-through: Sustained multi-year AI server deployment at this scale requires proportional optical infrastructure investment — directly positive for GLW’s Optical Communications segment through 2026 and 2027.</w:t>
      </w:r>
    </w:p>
    <w:p>
      <w:pPr>
        <w:pStyle w:val="ListBullet"/>
        <w:ind w:left="360" w:hanging="360"/>
      </w:pPr>
      <w:r>
        <w:rPr>
          <w:rFonts w:ascii="Calibri" w:hAnsi="Calibri"/>
          <w:b/>
          <w:color w:val="525866"/>
          <w:sz w:val="22"/>
        </w:rPr>
        <w:t>Supply Constrained, Not Demand Constrained:</w:t>
      </w:r>
      <w:r>
        <w:rPr>
          <w:rFonts w:ascii="Calibri" w:hAnsi="Calibri"/>
          <w:color w:val="525866"/>
          <w:sz w:val="22"/>
        </w:rPr>
        <w:t xml:space="preserve"> “We are supply constrained in the second half. It is not a demand issue for us.” Primary constraints: memory (NAND, DRAM), microprocessors, hard drives. Read-through: The supply constraints are not in optical fiber or cable, meaning GLW is not a bottleneck and can benefit from the strong demand environment without being supply-limited itself.</w:t>
      </w:r>
    </w:p>
    <w:p>
      <w:pPr>
        <w:pStyle w:val="ListBullet"/>
        <w:ind w:left="360" w:hanging="360"/>
      </w:pPr>
      <w:r>
        <w:rPr>
          <w:rFonts w:ascii="Calibri" w:hAnsi="Calibri"/>
          <w:b/>
          <w:color w:val="525866"/>
          <w:sz w:val="22"/>
        </w:rPr>
        <w:t>Customers Prioritizing Supply Security — Multi-Year Discussions:</w:t>
      </w:r>
      <w:r>
        <w:rPr>
          <w:rFonts w:ascii="Calibri" w:hAnsi="Calibri"/>
          <w:color w:val="525866"/>
          <w:sz w:val="22"/>
        </w:rPr>
        <w:t xml:space="preserve"> “Customers continue to prioritize their IT infrastructure needs with an increased focus on securing supply.” Multi-year discussions (3–5 years) about access to supply. Read-through: This behavior mirrors the hyperscale agreements GLW has signed (Meta, Nvidia, unnamed third) — customers are locking in supply across the stack, including optical infrastructure.</w:t>
      </w:r>
    </w:p>
    <w:p>
      <w:pPr>
        <w:pStyle w:val="ListBullet"/>
        <w:ind w:left="360" w:hanging="360"/>
      </w:pPr>
      <w:r>
        <w:rPr>
          <w:rFonts w:ascii="Calibri" w:hAnsi="Calibri"/>
          <w:b/>
          <w:color w:val="525866"/>
          <w:sz w:val="22"/>
        </w:rPr>
        <w:t>Networking Revenue Up 92% YoY:</w:t>
      </w:r>
      <w:r>
        <w:rPr>
          <w:rFonts w:ascii="Calibri" w:hAnsi="Calibri"/>
          <w:color w:val="525866"/>
          <w:sz w:val="22"/>
        </w:rPr>
        <w:t xml:space="preserve"> Traditional server and networking revenue was $8.5B in Q1 FY2027, up 92% YoY, with demand continuing to outpace supply. DELL launched Dell PowerRack, a turnkey integrated solution for compute, networking, and storage. Read-through: The networking component of AI infrastructure is growing as fast as compute — positive for optical connectivity demand.</w:t>
      </w:r>
    </w:p>
    <w:p>
      <w:pPr>
        <w:pStyle w:val="ListBullet"/>
        <w:ind w:left="360" w:hanging="360"/>
      </w:pPr>
      <w:r>
        <w:rPr>
          <w:rFonts w:ascii="Calibri" w:hAnsi="Calibri"/>
          <w:b/>
          <w:color w:val="525866"/>
          <w:sz w:val="22"/>
        </w:rPr>
        <w:t>Inflationary Repricing Environment:</w:t>
      </w:r>
      <w:r>
        <w:rPr>
          <w:rFonts w:ascii="Calibri" w:hAnsi="Calibri"/>
          <w:color w:val="525866"/>
          <w:sz w:val="22"/>
        </w:rPr>
        <w:t xml:space="preserve"> “We’re repricing, it feels like every day” in an “inflationary environment that is changing at a rate we’ve never seen before.” Read-through: A generally inflationary IT supply chain environment could support GLW’s ability to maintain or improve pricing on optical fiber and cable, particularly given the tight supply-demand balance.</w:t>
      </w:r>
    </w:p>
    <w:p>
      <w:r>
        <w:rPr>
          <w:rFonts w:ascii="Calibri" w:hAnsi="Calibri"/>
          <w:b/>
          <w:color w:val="525866"/>
          <w:sz w:val="22"/>
        </w:rPr>
        <w:t xml:space="preserve">Limitations: </w:t>
      </w:r>
      <w:r>
        <w:rPr>
          <w:rFonts w:ascii="Calibri" w:hAnsi="Calibri"/>
          <w:color w:val="525866"/>
          <w:sz w:val="22"/>
        </w:rPr>
        <w:t>DELL sells complete server and networking systems; GLW sells passive optical components. The read-through is two steps removed (DELL demand → data center build-out → fiber demand). DELL’s supply constraints (memory, microprocessors) are not GLW’s products. DELL’s fiscal year is offset from the calendar year, so “Q2 FY2027” guidance covers August 2026, not June 2026 — the forward-looking commentary is most relevant to GLW’s H2 2026 rather than Q2 2026 specifically.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Forward Signal</w:t>
            </w:r>
          </w:p>
        </w:tc>
        <w:tc>
          <w:tcPr>
            <w:tcW w:type="dxa" w:w="1728"/>
            <w:shd w:val="clear" w:color="auto" w:fill="3B4259"/>
          </w:tcPr>
          <w:p>
            <w:r>
              <w:rPr>
                <w:rFonts w:ascii="Calibri" w:hAnsi="Calibri"/>
                <w:b/>
                <w:color w:val="FFFFFF"/>
                <w:sz w:val="22"/>
              </w:rPr>
              <w:t>GLW Read-Through</w:t>
            </w:r>
          </w:p>
        </w:tc>
        <w:tc>
          <w:tcPr>
            <w:tcW w:type="dxa" w:w="1728"/>
            <w:shd w:val="clear" w:color="auto" w:fill="3B4259"/>
          </w:tcPr>
          <w:p>
            <w:r>
              <w:rPr>
                <w:rFonts w:ascii="Calibri" w:hAnsi="Calibri"/>
                <w:b/>
                <w:color w:val="FFFFFF"/>
                <w:sz w:val="22"/>
              </w:rPr>
              <w:t>Strength</w:t>
            </w:r>
          </w:p>
        </w:tc>
      </w:tr>
      <w:tr>
        <w:tc>
          <w:tcPr>
            <w:tcW w:type="dxa" w:w="1728"/>
          </w:tcPr>
          <w:p>
            <w:r>
              <w:rPr>
                <w:rFonts w:ascii="Calibri" w:hAnsi="Calibri"/>
                <w:sz w:val="22"/>
              </w:rPr>
              <w:t>CIEN</w:t>
            </w:r>
          </w:p>
        </w:tc>
        <w:tc>
          <w:tcPr>
            <w:tcW w:type="dxa" w:w="1728"/>
          </w:tcPr>
          <w:p>
            <w:r>
              <w:rPr>
                <w:rFonts w:ascii="Calibri" w:hAnsi="Calibri"/>
                <w:sz w:val="22"/>
              </w:rPr>
              <w:t>Jun 4, 2026</w:t>
            </w:r>
          </w:p>
        </w:tc>
        <w:tc>
          <w:tcPr>
            <w:tcW w:type="dxa" w:w="1728"/>
          </w:tcPr>
          <w:p>
            <w:r>
              <w:rPr>
                <w:rFonts w:ascii="Calibri" w:hAnsi="Calibri"/>
                <w:sz w:val="22"/>
              </w:rPr>
              <w:t>FY26 rev guidance raised to $6.3B (+32% YoY); backlog +$600M to $7.7B; hyperscaler CapEx accelerating; addressable market doubling to ~$50B by 2029</w:t>
            </w:r>
          </w:p>
        </w:tc>
        <w:tc>
          <w:tcPr>
            <w:tcW w:type="dxa" w:w="1728"/>
          </w:tcPr>
          <w:p>
            <w:r>
              <w:rPr>
                <w:rFonts w:ascii="Calibri" w:hAnsi="Calibri"/>
                <w:sz w:val="22"/>
              </w:rPr>
              <w:t>Strongly positive for Optical Comm. revenue; validates carrier and enterprise demand; CPO momentum supports Photonics MAP</w:t>
            </w:r>
          </w:p>
        </w:tc>
        <w:tc>
          <w:tcPr>
            <w:tcW w:type="dxa" w:w="1728"/>
          </w:tcPr>
          <w:p>
            <w:r>
              <w:rPr>
                <w:rFonts w:ascii="Calibri" w:hAnsi="Calibri"/>
                <w:sz w:val="22"/>
              </w:rPr>
              <w:t>High — most direct read-through (optical systems → fiber demand)</w:t>
            </w:r>
          </w:p>
        </w:tc>
      </w:tr>
      <w:tr>
        <w:tc>
          <w:tcPr>
            <w:tcW w:type="dxa" w:w="1728"/>
          </w:tcPr>
          <w:p>
            <w:r>
              <w:rPr>
                <w:rFonts w:ascii="Calibri" w:hAnsi="Calibri"/>
                <w:sz w:val="22"/>
              </w:rPr>
              <w:t>AVGO</w:t>
            </w:r>
          </w:p>
        </w:tc>
        <w:tc>
          <w:tcPr>
            <w:tcW w:type="dxa" w:w="1728"/>
          </w:tcPr>
          <w:p>
            <w:r>
              <w:rPr>
                <w:rFonts w:ascii="Calibri" w:hAnsi="Calibri"/>
                <w:sz w:val="22"/>
              </w:rPr>
              <w:t>Jun 3, 2026</w:t>
            </w:r>
          </w:p>
        </w:tc>
        <w:tc>
          <w:tcPr>
            <w:tcW w:type="dxa" w:w="1728"/>
          </w:tcPr>
          <w:p>
            <w:r>
              <w:rPr>
                <w:rFonts w:ascii="Calibri" w:hAnsi="Calibri"/>
                <w:sz w:val="22"/>
              </w:rPr>
              <w:t>FY26 AI semi rev $56B (+180%); FY27 &gt;$100B; 10 GW shipments in 2027; CPO de facto standard; bookings $30B+ vs. $10.8B shipped</w:t>
            </w:r>
          </w:p>
        </w:tc>
        <w:tc>
          <w:tcPr>
            <w:tcW w:type="dxa" w:w="1728"/>
          </w:tcPr>
          <w:p>
            <w:r>
              <w:rPr>
                <w:rFonts w:ascii="Calibri" w:hAnsi="Calibri"/>
                <w:sz w:val="22"/>
              </w:rPr>
              <w:t>Strongly positive for Optical Comm. and Photonics MAP; gigawatt-scale deployments require proportional fiber infrastructure; CPO leadership validates GLW’s Photonics opportunity</w:t>
            </w:r>
          </w:p>
        </w:tc>
        <w:tc>
          <w:tcPr>
            <w:tcW w:type="dxa" w:w="1728"/>
          </w:tcPr>
          <w:p>
            <w:r>
              <w:rPr>
                <w:rFonts w:ascii="Calibri" w:hAnsi="Calibri"/>
                <w:sz w:val="22"/>
              </w:rPr>
              <w:t>High — scale of AI compute directly drives fiber demand</w:t>
            </w:r>
          </w:p>
        </w:tc>
      </w:tr>
      <w:tr>
        <w:tc>
          <w:tcPr>
            <w:tcW w:type="dxa" w:w="1728"/>
          </w:tcPr>
          <w:p>
            <w:r>
              <w:rPr>
                <w:rFonts w:ascii="Calibri" w:hAnsi="Calibri"/>
                <w:sz w:val="22"/>
              </w:rPr>
              <w:t>DELL</w:t>
            </w:r>
          </w:p>
        </w:tc>
        <w:tc>
          <w:tcPr>
            <w:tcW w:type="dxa" w:w="1728"/>
          </w:tcPr>
          <w:p>
            <w:r>
              <w:rPr>
                <w:rFonts w:ascii="Calibri" w:hAnsi="Calibri"/>
                <w:sz w:val="22"/>
              </w:rPr>
              <w:t>May 28, 2026</w:t>
            </w:r>
          </w:p>
        </w:tc>
        <w:tc>
          <w:tcPr>
            <w:tcW w:type="dxa" w:w="1728"/>
          </w:tcPr>
          <w:p>
            <w:r>
              <w:rPr>
                <w:rFonts w:ascii="Calibri" w:hAnsi="Calibri"/>
                <w:sz w:val="22"/>
              </w:rPr>
              <w:t>Record $51.3B AI backlog; FY27 AI server rev ~$60B (+2.4x); networking rev +92% YoY; supply constrained (not demand); multi-year customer supply discussions</w:t>
            </w:r>
          </w:p>
        </w:tc>
        <w:tc>
          <w:tcPr>
            <w:tcW w:type="dxa" w:w="1728"/>
          </w:tcPr>
          <w:p>
            <w:r>
              <w:rPr>
                <w:rFonts w:ascii="Calibri" w:hAnsi="Calibri"/>
                <w:sz w:val="22"/>
              </w:rPr>
              <w:t>Positive for Optical Comm. — AI server deployments require optical interconnects; supply constraints not in fiber/cable; inflationary pricing environment supportive</w:t>
            </w:r>
          </w:p>
        </w:tc>
        <w:tc>
          <w:tcPr>
            <w:tcW w:type="dxa" w:w="1728"/>
          </w:tcPr>
          <w:p>
            <w:r>
              <w:rPr>
                <w:rFonts w:ascii="Calibri" w:hAnsi="Calibri"/>
                <w:sz w:val="22"/>
              </w:rPr>
              <w:t>Moderate — two steps removed (server demand → data center → fiber)</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 broad wave of open-market sales by senior executives — including the CEO, CFO, COO, and multiple SVPs — occurred in May–June 2026, clustered around the Investor Day stock surge. While the timing is notable (selling into the post-Investor Day rally), none of the transactions are flagged as 10b5-1 pre-planned sales in the SEC filings, which warrants attention. No open-market buys were recorded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Weeks, Wendell P.</w:t>
            </w:r>
          </w:p>
        </w:tc>
        <w:tc>
          <w:tcPr>
            <w:tcW w:type="dxa" w:w="1440"/>
          </w:tcPr>
          <w:p>
            <w:r>
              <w:rPr>
                <w:rFonts w:ascii="Calibri" w:hAnsi="Calibri"/>
                <w:sz w:val="22"/>
              </w:rPr>
              <w:t>Chairman, CEO &amp; President</w:t>
            </w:r>
          </w:p>
        </w:tc>
        <w:tc>
          <w:tcPr>
            <w:tcW w:type="dxa" w:w="1440"/>
          </w:tcPr>
          <w:p>
            <w:r>
              <w:rPr>
                <w:rFonts w:ascii="Calibri" w:hAnsi="Calibri"/>
                <w:sz w:val="22"/>
              </w:rPr>
              <w:t>Open Market Sale</w:t>
            </w:r>
          </w:p>
        </w:tc>
        <w:tc>
          <w:tcPr>
            <w:tcW w:type="dxa" w:w="1440"/>
          </w:tcPr>
          <w:p>
            <w:r>
              <w:rPr>
                <w:rFonts w:ascii="Calibri" w:hAnsi="Calibri"/>
                <w:sz w:val="22"/>
              </w:rPr>
              <w:t>100,000 shares</w:t>
            </w:r>
          </w:p>
        </w:tc>
        <w:tc>
          <w:tcPr>
            <w:tcW w:type="dxa" w:w="1440"/>
          </w:tcPr>
          <w:p>
            <w:r>
              <w:rPr>
                <w:rFonts w:ascii="Calibri" w:hAnsi="Calibri"/>
                <w:sz w:val="22"/>
              </w:rPr>
              <w:t>Jun 9, 2026</w:t>
            </w:r>
          </w:p>
        </w:tc>
        <w:tc>
          <w:tcPr>
            <w:tcW w:type="dxa" w:w="1440"/>
          </w:tcPr>
          <w:p>
            <w:r>
              <w:rPr>
                <w:rFonts w:ascii="Calibri" w:hAnsi="Calibri"/>
                <w:sz w:val="22"/>
              </w:rPr>
              <w:t>Largest single sale; not flagged as 10b5-1; sold into post-Investor Day rally; 908,353 shares remaining</w:t>
            </w:r>
          </w:p>
        </w:tc>
      </w:tr>
      <w:tr>
        <w:tc>
          <w:tcPr>
            <w:tcW w:type="dxa" w:w="1440"/>
          </w:tcPr>
          <w:p>
            <w:r>
              <w:rPr>
                <w:rFonts w:ascii="Calibri" w:hAnsi="Calibri"/>
                <w:sz w:val="22"/>
              </w:rPr>
              <w:t>Schlesinger, Edward A.</w:t>
            </w:r>
          </w:p>
        </w:tc>
        <w:tc>
          <w:tcPr>
            <w:tcW w:type="dxa" w:w="1440"/>
          </w:tcPr>
          <w:p>
            <w:r>
              <w:rPr>
                <w:rFonts w:ascii="Calibri" w:hAnsi="Calibri"/>
                <w:sz w:val="22"/>
              </w:rPr>
              <w:t>EVP &amp; CFO</w:t>
            </w:r>
          </w:p>
        </w:tc>
        <w:tc>
          <w:tcPr>
            <w:tcW w:type="dxa" w:w="1440"/>
          </w:tcPr>
          <w:p>
            <w:r>
              <w:rPr>
                <w:rFonts w:ascii="Calibri" w:hAnsi="Calibri"/>
                <w:sz w:val="22"/>
              </w:rPr>
              <w:t>Open Market Sale</w:t>
            </w:r>
          </w:p>
        </w:tc>
        <w:tc>
          <w:tcPr>
            <w:tcW w:type="dxa" w:w="1440"/>
          </w:tcPr>
          <w:p>
            <w:r>
              <w:rPr>
                <w:rFonts w:ascii="Calibri" w:hAnsi="Calibri"/>
                <w:sz w:val="22"/>
              </w:rPr>
              <w:t>22,562 shares</w:t>
            </w:r>
          </w:p>
        </w:tc>
        <w:tc>
          <w:tcPr>
            <w:tcW w:type="dxa" w:w="1440"/>
          </w:tcPr>
          <w:p>
            <w:r>
              <w:rPr>
                <w:rFonts w:ascii="Calibri" w:hAnsi="Calibri"/>
                <w:sz w:val="22"/>
              </w:rPr>
              <w:t>May 7, 2026</w:t>
            </w:r>
          </w:p>
        </w:tc>
        <w:tc>
          <w:tcPr>
            <w:tcW w:type="dxa" w:w="1440"/>
          </w:tcPr>
          <w:p>
            <w:r>
              <w:rPr>
                <w:rFonts w:ascii="Calibri" w:hAnsi="Calibri"/>
                <w:sz w:val="22"/>
              </w:rPr>
              <w:t>Day after Investor Day; not flagged as 10b5-1; 65,264 shares remaining</w:t>
            </w:r>
          </w:p>
        </w:tc>
      </w:tr>
      <w:tr>
        <w:tc>
          <w:tcPr>
            <w:tcW w:type="dxa" w:w="1440"/>
          </w:tcPr>
          <w:p>
            <w:r>
              <w:rPr>
                <w:rFonts w:ascii="Calibri" w:hAnsi="Calibri"/>
                <w:sz w:val="22"/>
              </w:rPr>
              <w:t>Nelson, Avery H. III</w:t>
            </w:r>
          </w:p>
        </w:tc>
        <w:tc>
          <w:tcPr>
            <w:tcW w:type="dxa" w:w="1440"/>
          </w:tcPr>
          <w:p>
            <w:r>
              <w:rPr>
                <w:rFonts w:ascii="Calibri" w:hAnsi="Calibri"/>
                <w:sz w:val="22"/>
              </w:rPr>
              <w:t>EVP &amp; COO</w:t>
            </w:r>
          </w:p>
        </w:tc>
        <w:tc>
          <w:tcPr>
            <w:tcW w:type="dxa" w:w="1440"/>
          </w:tcPr>
          <w:p>
            <w:r>
              <w:rPr>
                <w:rFonts w:ascii="Calibri" w:hAnsi="Calibri"/>
                <w:sz w:val="22"/>
              </w:rPr>
              <w:t>Open Market Sale</w:t>
            </w:r>
          </w:p>
        </w:tc>
        <w:tc>
          <w:tcPr>
            <w:tcW w:type="dxa" w:w="1440"/>
          </w:tcPr>
          <w:p>
            <w:r>
              <w:rPr>
                <w:rFonts w:ascii="Calibri" w:hAnsi="Calibri"/>
                <w:sz w:val="22"/>
              </w:rPr>
              <w:t>20,000 shares</w:t>
            </w:r>
          </w:p>
        </w:tc>
        <w:tc>
          <w:tcPr>
            <w:tcW w:type="dxa" w:w="1440"/>
          </w:tcPr>
          <w:p>
            <w:r>
              <w:rPr>
                <w:rFonts w:ascii="Calibri" w:hAnsi="Calibri"/>
                <w:sz w:val="22"/>
              </w:rPr>
              <w:t>May 15, 2026</w:t>
            </w:r>
          </w:p>
        </w:tc>
        <w:tc>
          <w:tcPr>
            <w:tcW w:type="dxa" w:w="1440"/>
          </w:tcPr>
          <w:p>
            <w:r>
              <w:rPr>
                <w:rFonts w:ascii="Calibri" w:hAnsi="Calibri"/>
                <w:sz w:val="22"/>
              </w:rPr>
              <w:t>Not flagged as 10b5-1; sold around JPMorgan conference date; 70,059 shares remaining</w:t>
            </w:r>
          </w:p>
        </w:tc>
      </w:tr>
      <w:tr>
        <w:tc>
          <w:tcPr>
            <w:tcW w:type="dxa" w:w="1440"/>
          </w:tcPr>
          <w:p>
            <w:r>
              <w:rPr>
                <w:rFonts w:ascii="Calibri" w:hAnsi="Calibri"/>
                <w:sz w:val="22"/>
              </w:rPr>
              <w:t>Steverson, Lewis A.</w:t>
            </w:r>
          </w:p>
        </w:tc>
        <w:tc>
          <w:tcPr>
            <w:tcW w:type="dxa" w:w="1440"/>
          </w:tcPr>
          <w:p>
            <w:r>
              <w:rPr>
                <w:rFonts w:ascii="Calibri" w:hAnsi="Calibri"/>
                <w:sz w:val="22"/>
              </w:rPr>
              <w:t>Vice Chairman, EVP &amp; CLAO</w:t>
            </w:r>
          </w:p>
        </w:tc>
        <w:tc>
          <w:tcPr>
            <w:tcW w:type="dxa" w:w="1440"/>
          </w:tcPr>
          <w:p>
            <w:r>
              <w:rPr>
                <w:rFonts w:ascii="Calibri" w:hAnsi="Calibri"/>
                <w:sz w:val="22"/>
              </w:rPr>
              <w:t>Open Market Sale</w:t>
            </w:r>
          </w:p>
        </w:tc>
        <w:tc>
          <w:tcPr>
            <w:tcW w:type="dxa" w:w="1440"/>
          </w:tcPr>
          <w:p>
            <w:r>
              <w:rPr>
                <w:rFonts w:ascii="Calibri" w:hAnsi="Calibri"/>
                <w:sz w:val="22"/>
              </w:rPr>
              <w:t>27,750 shares</w:t>
            </w:r>
          </w:p>
        </w:tc>
        <w:tc>
          <w:tcPr>
            <w:tcW w:type="dxa" w:w="1440"/>
          </w:tcPr>
          <w:p>
            <w:r>
              <w:rPr>
                <w:rFonts w:ascii="Calibri" w:hAnsi="Calibri"/>
                <w:sz w:val="22"/>
              </w:rPr>
              <w:t>May 8, 2026</w:t>
            </w:r>
          </w:p>
        </w:tc>
        <w:tc>
          <w:tcPr>
            <w:tcW w:type="dxa" w:w="1440"/>
          </w:tcPr>
          <w:p>
            <w:r>
              <w:rPr>
                <w:rFonts w:ascii="Calibri" w:hAnsi="Calibri"/>
                <w:sz w:val="22"/>
              </w:rPr>
              <w:t>Not flagged as 10b5-1; 28,152 shares remaining post-sale</w:t>
            </w:r>
          </w:p>
        </w:tc>
      </w:tr>
      <w:tr>
        <w:tc>
          <w:tcPr>
            <w:tcW w:type="dxa" w:w="1440"/>
          </w:tcPr>
          <w:p>
            <w:r>
              <w:rPr>
                <w:rFonts w:ascii="Calibri" w:hAnsi="Calibri"/>
                <w:sz w:val="22"/>
              </w:rPr>
              <w:t>Becker, Stefan</w:t>
            </w:r>
          </w:p>
        </w:tc>
        <w:tc>
          <w:tcPr>
            <w:tcW w:type="dxa" w:w="1440"/>
          </w:tcPr>
          <w:p>
            <w:r>
              <w:rPr>
                <w:rFonts w:ascii="Calibri" w:hAnsi="Calibri"/>
                <w:sz w:val="22"/>
              </w:rPr>
              <w:t>SVP, Finance &amp; Corp. Controller</w:t>
            </w:r>
          </w:p>
        </w:tc>
        <w:tc>
          <w:tcPr>
            <w:tcW w:type="dxa" w:w="1440"/>
          </w:tcPr>
          <w:p>
            <w:r>
              <w:rPr>
                <w:rFonts w:ascii="Calibri" w:hAnsi="Calibri"/>
                <w:sz w:val="22"/>
              </w:rPr>
              <w:t>Open Market Sale</w:t>
            </w:r>
          </w:p>
        </w:tc>
        <w:tc>
          <w:tcPr>
            <w:tcW w:type="dxa" w:w="1440"/>
          </w:tcPr>
          <w:p>
            <w:r>
              <w:rPr>
                <w:rFonts w:ascii="Calibri" w:hAnsi="Calibri"/>
                <w:sz w:val="22"/>
              </w:rPr>
              <w:t>21,000 shares</w:t>
            </w:r>
          </w:p>
        </w:tc>
        <w:tc>
          <w:tcPr>
            <w:tcW w:type="dxa" w:w="1440"/>
          </w:tcPr>
          <w:p>
            <w:r>
              <w:rPr>
                <w:rFonts w:ascii="Calibri" w:hAnsi="Calibri"/>
                <w:sz w:val="22"/>
              </w:rPr>
              <w:t>May 8, 2026</w:t>
            </w:r>
          </w:p>
        </w:tc>
        <w:tc>
          <w:tcPr>
            <w:tcW w:type="dxa" w:w="1440"/>
          </w:tcPr>
          <w:p>
            <w:r>
              <w:rPr>
                <w:rFonts w:ascii="Calibri" w:hAnsi="Calibri"/>
                <w:sz w:val="22"/>
              </w:rPr>
              <w:t>Not flagged as 10b5-1; 7,263 shares remaining (significant reduction in position)</w:t>
            </w:r>
          </w:p>
        </w:tc>
      </w:tr>
      <w:tr>
        <w:tc>
          <w:tcPr>
            <w:tcW w:type="dxa" w:w="1440"/>
          </w:tcPr>
          <w:p>
            <w:r>
              <w:rPr>
                <w:rFonts w:ascii="Calibri" w:hAnsi="Calibri"/>
                <w:sz w:val="22"/>
              </w:rPr>
              <w:t>Zhang, John Z.</w:t>
            </w:r>
          </w:p>
        </w:tc>
        <w:tc>
          <w:tcPr>
            <w:tcW w:type="dxa" w:w="1440"/>
          </w:tcPr>
          <w:p>
            <w:r>
              <w:rPr>
                <w:rFonts w:ascii="Calibri" w:hAnsi="Calibri"/>
                <w:sz w:val="22"/>
              </w:rPr>
              <w:t>EVP &amp; CCDO</w:t>
            </w:r>
          </w:p>
        </w:tc>
        <w:tc>
          <w:tcPr>
            <w:tcW w:type="dxa" w:w="1440"/>
          </w:tcPr>
          <w:p>
            <w:r>
              <w:rPr>
                <w:rFonts w:ascii="Calibri" w:hAnsi="Calibri"/>
                <w:sz w:val="22"/>
              </w:rPr>
              <w:t>Open Market Sale</w:t>
            </w:r>
          </w:p>
        </w:tc>
        <w:tc>
          <w:tcPr>
            <w:tcW w:type="dxa" w:w="1440"/>
          </w:tcPr>
          <w:p>
            <w:r>
              <w:rPr>
                <w:rFonts w:ascii="Calibri" w:hAnsi="Calibri"/>
                <w:sz w:val="22"/>
              </w:rPr>
              <w:t>15,000 shares (May 6) + 10,000 shares (May 11)</w:t>
            </w:r>
          </w:p>
        </w:tc>
        <w:tc>
          <w:tcPr>
            <w:tcW w:type="dxa" w:w="1440"/>
          </w:tcPr>
          <w:p>
            <w:r>
              <w:rPr>
                <w:rFonts w:ascii="Calibri" w:hAnsi="Calibri"/>
                <w:sz w:val="22"/>
              </w:rPr>
              <w:t>May 6 &amp; May 11, 2026</w:t>
            </w:r>
          </w:p>
        </w:tc>
        <w:tc>
          <w:tcPr>
            <w:tcW w:type="dxa" w:w="1440"/>
          </w:tcPr>
          <w:p>
            <w:r>
              <w:rPr>
                <w:rFonts w:ascii="Calibri" w:hAnsi="Calibri"/>
                <w:sz w:val="22"/>
              </w:rPr>
              <w:t>Two separate sales; May 6 sale on Investor Day itself; not flagged as 10b5-1; 5,138 shares remaining</w:t>
            </w:r>
          </w:p>
        </w:tc>
      </w:tr>
      <w:tr>
        <w:tc>
          <w:tcPr>
            <w:tcW w:type="dxa" w:w="1440"/>
          </w:tcPr>
          <w:p>
            <w:r>
              <w:rPr>
                <w:rFonts w:ascii="Calibri" w:hAnsi="Calibri"/>
                <w:sz w:val="22"/>
              </w:rPr>
              <w:t>Seetharam, Soumya</w:t>
            </w:r>
          </w:p>
        </w:tc>
        <w:tc>
          <w:tcPr>
            <w:tcW w:type="dxa" w:w="1440"/>
          </w:tcPr>
          <w:p>
            <w:r>
              <w:rPr>
                <w:rFonts w:ascii="Calibri" w:hAnsi="Calibri"/>
                <w:sz w:val="22"/>
              </w:rPr>
              <w:t>SVP &amp; CDIO</w:t>
            </w:r>
          </w:p>
        </w:tc>
        <w:tc>
          <w:tcPr>
            <w:tcW w:type="dxa" w:w="1440"/>
          </w:tcPr>
          <w:p>
            <w:r>
              <w:rPr>
                <w:rFonts w:ascii="Calibri" w:hAnsi="Calibri"/>
                <w:sz w:val="22"/>
              </w:rPr>
              <w:t>Open Market Sale</w:t>
            </w:r>
          </w:p>
        </w:tc>
        <w:tc>
          <w:tcPr>
            <w:tcW w:type="dxa" w:w="1440"/>
          </w:tcPr>
          <w:p>
            <w:r>
              <w:rPr>
                <w:rFonts w:ascii="Calibri" w:hAnsi="Calibri"/>
                <w:sz w:val="22"/>
              </w:rPr>
              <w:t>20,000 shares</w:t>
            </w:r>
          </w:p>
        </w:tc>
        <w:tc>
          <w:tcPr>
            <w:tcW w:type="dxa" w:w="1440"/>
          </w:tcPr>
          <w:p>
            <w:r>
              <w:rPr>
                <w:rFonts w:ascii="Calibri" w:hAnsi="Calibri"/>
                <w:sz w:val="22"/>
              </w:rPr>
              <w:t>May 11, 2026</w:t>
            </w:r>
          </w:p>
        </w:tc>
        <w:tc>
          <w:tcPr>
            <w:tcW w:type="dxa" w:w="1440"/>
          </w:tcPr>
          <w:p>
            <w:r>
              <w:rPr>
                <w:rFonts w:ascii="Calibri" w:hAnsi="Calibri"/>
                <w:sz w:val="22"/>
              </w:rPr>
              <w:t>Not flagged as 10b5-1; 25,570 shares remaining</w:t>
            </w:r>
          </w:p>
        </w:tc>
      </w:tr>
      <w:tr>
        <w:tc>
          <w:tcPr>
            <w:tcW w:type="dxa" w:w="1440"/>
          </w:tcPr>
          <w:p>
            <w:r>
              <w:rPr>
                <w:rFonts w:ascii="Calibri" w:hAnsi="Calibri"/>
                <w:sz w:val="22"/>
              </w:rPr>
              <w:t>Verkleeren, Ronald L.</w:t>
            </w:r>
          </w:p>
        </w:tc>
        <w:tc>
          <w:tcPr>
            <w:tcW w:type="dxa" w:w="1440"/>
          </w:tcPr>
          <w:p>
            <w:r>
              <w:rPr>
                <w:rFonts w:ascii="Calibri" w:hAnsi="Calibri"/>
                <w:sz w:val="22"/>
              </w:rPr>
              <w:t>SVP, Emerging Innovations Group</w:t>
            </w:r>
          </w:p>
        </w:tc>
        <w:tc>
          <w:tcPr>
            <w:tcW w:type="dxa" w:w="1440"/>
          </w:tcPr>
          <w:p>
            <w:r>
              <w:rPr>
                <w:rFonts w:ascii="Calibri" w:hAnsi="Calibri"/>
                <w:sz w:val="22"/>
              </w:rPr>
              <w:t>Open Market Sale</w:t>
            </w:r>
          </w:p>
        </w:tc>
        <w:tc>
          <w:tcPr>
            <w:tcW w:type="dxa" w:w="1440"/>
          </w:tcPr>
          <w:p>
            <w:r>
              <w:rPr>
                <w:rFonts w:ascii="Calibri" w:hAnsi="Calibri"/>
                <w:sz w:val="22"/>
              </w:rPr>
              <w:t>10,000 shares</w:t>
            </w:r>
          </w:p>
        </w:tc>
        <w:tc>
          <w:tcPr>
            <w:tcW w:type="dxa" w:w="1440"/>
          </w:tcPr>
          <w:p>
            <w:r>
              <w:rPr>
                <w:rFonts w:ascii="Calibri" w:hAnsi="Calibri"/>
                <w:sz w:val="22"/>
              </w:rPr>
              <w:t>May 13, 2026</w:t>
            </w:r>
          </w:p>
        </w:tc>
        <w:tc>
          <w:tcPr>
            <w:tcW w:type="dxa" w:w="1440"/>
          </w:tcPr>
          <w:p>
            <w:r>
              <w:rPr>
                <w:rFonts w:ascii="Calibri" w:hAnsi="Calibri"/>
                <w:sz w:val="22"/>
              </w:rPr>
              <w:t>Not flagged as 10b5-1; 48,143 shares remaining</w:t>
            </w:r>
          </w:p>
        </w:tc>
      </w:tr>
      <w:tr>
        <w:tc>
          <w:tcPr>
            <w:tcW w:type="dxa" w:w="1440"/>
          </w:tcPr>
          <w:p>
            <w:r>
              <w:rPr>
                <w:rFonts w:ascii="Calibri" w:hAnsi="Calibri"/>
                <w:sz w:val="22"/>
              </w:rPr>
              <w:t>Gullo, Michelle L.</w:t>
            </w:r>
          </w:p>
        </w:tc>
        <w:tc>
          <w:tcPr>
            <w:tcW w:type="dxa" w:w="1440"/>
          </w:tcPr>
          <w:p>
            <w:r>
              <w:rPr>
                <w:rFonts w:ascii="Calibri" w:hAnsi="Calibri"/>
                <w:sz w:val="22"/>
              </w:rPr>
              <w:t>SVP &amp; CHRO</w:t>
            </w:r>
          </w:p>
        </w:tc>
        <w:tc>
          <w:tcPr>
            <w:tcW w:type="dxa" w:w="1440"/>
          </w:tcPr>
          <w:p>
            <w:r>
              <w:rPr>
                <w:rFonts w:ascii="Calibri" w:hAnsi="Calibri"/>
                <w:sz w:val="22"/>
              </w:rPr>
              <w:t>Open Market Sale</w:t>
            </w:r>
          </w:p>
        </w:tc>
        <w:tc>
          <w:tcPr>
            <w:tcW w:type="dxa" w:w="1440"/>
          </w:tcPr>
          <w:p>
            <w:r>
              <w:rPr>
                <w:rFonts w:ascii="Calibri" w:hAnsi="Calibri"/>
                <w:sz w:val="22"/>
              </w:rPr>
              <w:t>5,315 shares</w:t>
            </w:r>
          </w:p>
        </w:tc>
        <w:tc>
          <w:tcPr>
            <w:tcW w:type="dxa" w:w="1440"/>
          </w:tcPr>
          <w:p>
            <w:r>
              <w:rPr>
                <w:rFonts w:ascii="Calibri" w:hAnsi="Calibri"/>
                <w:sz w:val="22"/>
              </w:rPr>
              <w:t>May 8, 2026</w:t>
            </w:r>
          </w:p>
        </w:tc>
        <w:tc>
          <w:tcPr>
            <w:tcW w:type="dxa" w:w="1440"/>
          </w:tcPr>
          <w:p>
            <w:r>
              <w:rPr>
                <w:rFonts w:ascii="Calibri" w:hAnsi="Calibri"/>
                <w:sz w:val="22"/>
              </w:rPr>
              <w:t>Not flagged as 10b5-1; 37,636 shares remaining</w:t>
            </w:r>
          </w:p>
        </w:tc>
      </w:tr>
      <w:tr>
        <w:tc>
          <w:tcPr>
            <w:tcW w:type="dxa" w:w="1440"/>
          </w:tcPr>
          <w:p>
            <w:r>
              <w:rPr>
                <w:rFonts w:ascii="Calibri" w:hAnsi="Calibri"/>
                <w:sz w:val="22"/>
              </w:rPr>
              <w:t>Tillman, Michaune D.</w:t>
            </w:r>
          </w:p>
        </w:tc>
        <w:tc>
          <w:tcPr>
            <w:tcW w:type="dxa" w:w="1440"/>
          </w:tcPr>
          <w:p>
            <w:r>
              <w:rPr>
                <w:rFonts w:ascii="Calibri" w:hAnsi="Calibri"/>
                <w:sz w:val="22"/>
              </w:rPr>
              <w:t>SVP &amp; General Counsel</w:t>
            </w:r>
          </w:p>
        </w:tc>
        <w:tc>
          <w:tcPr>
            <w:tcW w:type="dxa" w:w="1440"/>
          </w:tcPr>
          <w:p>
            <w:r>
              <w:rPr>
                <w:rFonts w:ascii="Calibri" w:hAnsi="Calibri"/>
                <w:sz w:val="22"/>
              </w:rPr>
              <w:t>Open Market Sale</w:t>
            </w:r>
          </w:p>
        </w:tc>
        <w:tc>
          <w:tcPr>
            <w:tcW w:type="dxa" w:w="1440"/>
          </w:tcPr>
          <w:p>
            <w:r>
              <w:rPr>
                <w:rFonts w:ascii="Calibri" w:hAnsi="Calibri"/>
                <w:sz w:val="22"/>
              </w:rPr>
              <w:t>3,260 shares</w:t>
            </w:r>
          </w:p>
        </w:tc>
        <w:tc>
          <w:tcPr>
            <w:tcW w:type="dxa" w:w="1440"/>
          </w:tcPr>
          <w:p>
            <w:r>
              <w:rPr>
                <w:rFonts w:ascii="Calibri" w:hAnsi="Calibri"/>
                <w:sz w:val="22"/>
              </w:rPr>
              <w:t>May 11, 2026</w:t>
            </w:r>
          </w:p>
        </w:tc>
        <w:tc>
          <w:tcPr>
            <w:tcW w:type="dxa" w:w="1440"/>
          </w:tcPr>
          <w:p>
            <w:r>
              <w:rPr>
                <w:rFonts w:ascii="Calibri" w:hAnsi="Calibri"/>
                <w:sz w:val="22"/>
              </w:rPr>
              <w:t>Not flagged as 10b5-1; 10,174 shares remaining</w:t>
            </w:r>
          </w:p>
        </w:tc>
      </w:tr>
    </w:tbl>
    <w:p>
      <w:r>
        <w:rPr>
          <w:rFonts w:ascii="Calibri" w:hAnsi="Calibri"/>
          <w:b/>
          <w:color w:val="525866"/>
          <w:sz w:val="22"/>
        </w:rPr>
        <w:t xml:space="preserve">Analysis: </w:t>
      </w:r>
      <w:r>
        <w:rPr>
          <w:rFonts w:ascii="Calibri" w:hAnsi="Calibri"/>
          <w:color w:val="525866"/>
          <w:sz w:val="22"/>
        </w:rPr>
        <w:t>The breadth and clustering of insider sales is notable — 10 executives sold shares across a 5-week window (May 6 – June 9, 2026), all coinciding with the post-Investor Day stock surge. The CEO’s 100,000-share sale on June 9 (when the stock was trading near $200+) is the most significant single transaction. None of the transactions are flagged as 10b5-1 pre-planned sales in the SEC Form 4 filings, which means these were discretionary decisions rather than pre-scheduled plan executions. The absence of any open-market buys during this period, combined with the scale of selling, is a cautionary signal — though it is common for executives to diversify after a major stock run. The subsequent -44% stock decline from the June 30 peak suggests the insiders who sold in May–June made well-timed decisions. Source: SEC Form 4 Filings Database.</w:t>
      </w:r>
    </w:p>
    <w:p>
      <w:r>
        <w:rPr>
          <w:rFonts w:ascii="Calibri" w:hAnsi="Calibri"/>
          <w:b/>
          <w:color w:val="525866"/>
          <w:sz w:val="22"/>
        </w:rPr>
        <w:t xml:space="preserve">Source: </w:t>
      </w:r>
      <w:r>
        <w:rPr>
          <w:rFonts w:ascii="Calibri" w:hAnsi="Calibri"/>
          <w:color w:val="525866"/>
          <w:sz w:val="22"/>
        </w:rPr>
        <w:t>Insider Transaction Data (SEC Form 4 Filings). All transactions are open-market sales (transaction code S, disposition type D). Period covered: April 28 – July 27, 2026. No open-market purchases (transaction code P) were recorded for GLW in this period.</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actuals, consensus estimates, and as-of-date baselines. Source: https://insights.visiblealpha.com/mex/GLW/NMV/SG (segment data) and https://insights.visiblealpha.com/mex/GLW/NMV/IS (income statement data).</w:t>
      </w:r>
    </w:p>
    <w:p>
      <w:pPr>
        <w:pStyle w:val="ListBullet"/>
        <w:ind w:left="360" w:hanging="360"/>
      </w:pPr>
      <w:r>
        <w:rPr>
          <w:rFonts w:ascii="Calibri" w:hAnsi="Calibri"/>
          <w:b/>
          <w:color w:val="525866"/>
          <w:sz w:val="22"/>
        </w:rPr>
        <w:t>Stock Price Data</w:t>
      </w:r>
      <w:r>
        <w:rPr>
          <w:rFonts w:ascii="Calibri" w:hAnsi="Calibri"/>
          <w:color w:val="525866"/>
          <w:sz w:val="22"/>
        </w:rPr>
        <w:t xml:space="preserve"> — GLW, XLB, and SPY daily closing prices from April 28 – July 28,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for GLW, April 28 – July 27, 2026. Source: https://www.sec.gov/</w:t>
      </w:r>
    </w:p>
    <w:p>
      <w:pPr>
        <w:pStyle w:val="ListBullet"/>
        <w:ind w:left="360" w:hanging="360"/>
      </w:pPr>
      <w:r>
        <w:rPr>
          <w:rFonts w:ascii="Calibri" w:hAnsi="Calibri"/>
          <w:b/>
          <w:color w:val="525866"/>
          <w:sz w:val="22"/>
        </w:rPr>
        <w:t>GLW Q1 2026 Earnings Call Transcript</w:t>
      </w:r>
      <w:r>
        <w:rPr>
          <w:rFonts w:ascii="Calibri" w:hAnsi="Calibri"/>
          <w:color w:val="525866"/>
          <w:sz w:val="22"/>
        </w:rPr>
        <w:t xml:space="preserve"> — April 28, 2026. Source: Implied financial documents database.</w:t>
      </w:r>
    </w:p>
    <w:p>
      <w:pPr>
        <w:pStyle w:val="ListBullet"/>
        <w:ind w:left="360" w:hanging="360"/>
      </w:pPr>
      <w:r>
        <w:rPr>
          <w:rFonts w:ascii="Calibri" w:hAnsi="Calibri"/>
          <w:b/>
          <w:color w:val="525866"/>
          <w:sz w:val="22"/>
        </w:rPr>
        <w:t>Corning Investor Day Transcript &amp; Press Release</w:t>
      </w:r>
      <w:r>
        <w:rPr>
          <w:rFonts w:ascii="Calibri" w:hAnsi="Calibri"/>
          <w:color w:val="525866"/>
          <w:sz w:val="22"/>
        </w:rPr>
        <w:t xml:space="preserve"> — May 6, 2026. Source: Implied financial documents database.</w:t>
      </w:r>
    </w:p>
    <w:p>
      <w:pPr>
        <w:pStyle w:val="ListBullet"/>
        <w:ind w:left="360" w:hanging="360"/>
      </w:pPr>
      <w:r>
        <w:rPr>
          <w:rFonts w:ascii="Calibri" w:hAnsi="Calibri"/>
          <w:b/>
          <w:color w:val="525866"/>
          <w:sz w:val="22"/>
        </w:rPr>
        <w:t>Corning 8-K Filings</w:t>
      </w:r>
      <w:r>
        <w:rPr>
          <w:rFonts w:ascii="Calibri" w:hAnsi="Calibri"/>
          <w:color w:val="525866"/>
          <w:sz w:val="22"/>
        </w:rPr>
        <w:t xml:space="preserve"> — May 4, May 6 (Nvidia warrant sale), May 15 (JPMorgan conference), 2026. Source: SEC EDGAR.</w:t>
      </w:r>
    </w:p>
    <w:p>
      <w:pPr>
        <w:pStyle w:val="ListBullet"/>
        <w:ind w:left="360" w:hanging="360"/>
      </w:pPr>
      <w:r>
        <w:rPr>
          <w:rFonts w:ascii="Calibri" w:hAnsi="Calibri"/>
          <w:b/>
          <w:color w:val="525866"/>
          <w:sz w:val="22"/>
        </w:rPr>
        <w:t>CIEN Q2 FY2026 Earnings Call &amp; Release</w:t>
      </w:r>
      <w:r>
        <w:rPr>
          <w:rFonts w:ascii="Calibri" w:hAnsi="Calibri"/>
          <w:color w:val="525866"/>
          <w:sz w:val="22"/>
        </w:rPr>
        <w:t xml:space="preserve"> — June 4, 2026. Source: Implied financial documents database.</w:t>
      </w:r>
    </w:p>
    <w:p>
      <w:pPr>
        <w:pStyle w:val="ListBullet"/>
        <w:ind w:left="360" w:hanging="360"/>
      </w:pPr>
      <w:r>
        <w:rPr>
          <w:rFonts w:ascii="Calibri" w:hAnsi="Calibri"/>
          <w:b/>
          <w:color w:val="525866"/>
          <w:sz w:val="22"/>
        </w:rPr>
        <w:t>AVGO Q2 FY2026 Earnings Call &amp; Release</w:t>
      </w:r>
      <w:r>
        <w:rPr>
          <w:rFonts w:ascii="Calibri" w:hAnsi="Calibri"/>
          <w:color w:val="525866"/>
          <w:sz w:val="22"/>
        </w:rPr>
        <w:t xml:space="preserve"> — June 3, 2026. Source: Implied financial documents database.</w:t>
      </w:r>
    </w:p>
    <w:p>
      <w:pPr>
        <w:pStyle w:val="ListBullet"/>
        <w:ind w:left="360" w:hanging="360"/>
      </w:pPr>
      <w:r>
        <w:rPr>
          <w:rFonts w:ascii="Calibri" w:hAnsi="Calibri"/>
          <w:b/>
          <w:color w:val="525866"/>
          <w:sz w:val="22"/>
        </w:rPr>
        <w:t>DELL Q1 FY2027 Earnings Call &amp; Release</w:t>
      </w:r>
      <w:r>
        <w:rPr>
          <w:rFonts w:ascii="Calibri" w:hAnsi="Calibri"/>
          <w:color w:val="525866"/>
          <w:sz w:val="22"/>
        </w:rPr>
        <w:t xml:space="preserve"> — May 28, 2026. Source: Implied financial documents database.</w:t>
      </w:r>
    </w:p>
    <w:p>
      <w:pPr>
        <w:pStyle w:val="ListBullet"/>
        <w:ind w:left="360" w:hanging="360"/>
      </w:pPr>
      <w:r>
        <w:rPr>
          <w:rFonts w:ascii="Calibri" w:hAnsi="Calibri"/>
          <w:b/>
          <w:color w:val="525866"/>
          <w:sz w:val="22"/>
        </w:rPr>
        <w:t>News Digest</w:t>
      </w:r>
      <w:r>
        <w:rPr>
          <w:rFonts w:ascii="Calibri" w:hAnsi="Calibri"/>
          <w:color w:val="525866"/>
          <w:sz w:val="22"/>
        </w:rPr>
        <w:t xml:space="preserve"> — GLW pre-earnings sentiment summary, July 24,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