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GNRC (Generac) before writing the preview. Let me pull recent transcripts, filings, news, and price data.Let me read the most recent earnings call (Q1 2026), the Q1 earnings release, and the investor day, plus get recent price data and more news.Let me pull recent news to understand the sharp pullback from ~</w:t>
      </w:r>
      <m:oMath>
        <m:r>
          <m:t>295</m:t>
        </m:r>
        <m:r>
          <m:rPr>
            <m:sty m:val="p"/>
          </m:rPr>
          <m:t>(</m:t>
        </m:r>
        <m:r>
          <m:t>l</m:t>
        </m:r>
        <m:r>
          <m:t>a</m:t>
        </m:r>
        <m:r>
          <m:t>t</m:t>
        </m:r>
        <m:r>
          <m:t>e</m:t>
        </m:r>
        <m:r>
          <m:t>J</m:t>
        </m:r>
        <m:r>
          <m:t>u</m:t>
        </m:r>
        <m:r>
          <m:t>n</m:t>
        </m:r>
        <m:r>
          <m:t>e</m:t>
        </m:r>
        <m:r>
          <m:rPr>
            <m:sty m:val="p"/>
          </m:rPr>
          <m:t>)</m:t>
        </m:r>
        <m:r>
          <m:t>t</m:t>
        </m:r>
        <m:r>
          <m:t>o</m:t>
        </m:r>
        <m:r>
          <m:t> </m:t>
        </m:r>
      </m:oMath>
      <w:r>
        <w:t xml:space="preserve">196 (into earnings), plus sector context.Let me check for broader news and analyst activity around the pullback via search.Let me grab the prior-year Q2 2025 actuals to frame the comps, and the Investor Day long-term targets.I now have everything I need. Here's the earnings preview.</w:t>
      </w:r>
    </w:p>
    <w:p>
      <w:r>
        <w:pict>
          <v:rect style="width:0;height:1.5pt" o:hralign="center" o:hrstd="t" o:hr="t"/>
        </w:pict>
      </w:r>
    </w:p>
    <w:bookmarkStart w:id="17" w:name="X0427f51cadb6e60a71dabe6da38d7aca1f6d403"/>
    <w:p>
      <w:pPr>
        <w:pStyle w:val="Heading1"/>
      </w:pPr>
      <w:r>
        <w:t xml:space="preserve">Generac Holdings (GNRC) — Q2 2026 Earnings Preview</w:t>
      </w:r>
    </w:p>
    <w:p>
      <w:pPr>
        <w:pStyle w:val="FirstParagraph"/>
      </w:pPr>
      <w:r>
        <w:rPr>
          <w:b/>
          <w:bCs/>
        </w:rPr>
        <w:t xml:space="preserve">Report date:</w:t>
      </w:r>
      <w:r>
        <w:t xml:space="preserve"> </w:t>
      </w:r>
      <w:r>
        <w:t xml:space="preserve">Wednesday, July 29, 2026 (before market open) ·</w:t>
      </w:r>
      <w:r>
        <w:t xml:space="preserve"> </w:t>
      </w:r>
      <w:r>
        <w:rPr>
          <w:b/>
          <w:bCs/>
        </w:rPr>
        <w:t xml:space="preserve">Call:</w:t>
      </w:r>
      <w:r>
        <w:t xml:space="preserve"> </w:t>
      </w:r>
      <w:r>
        <w:t xml:space="preserve">10:00 a.m. ET ·</w:t>
      </w:r>
      <w:r>
        <w:t xml:space="preserve"> </w:t>
      </w:r>
      <w:r>
        <w:rPr>
          <w:b/>
          <w:bCs/>
        </w:rPr>
        <w:t xml:space="preserve">Price into print (7/28):</w:t>
      </w:r>
      <w:r>
        <w:t xml:space="preserve"> </w:t>
      </w:r>
      <w:r>
        <w:t xml:space="preserve">$195.63</w:t>
      </w:r>
    </w:p>
    <w:p>
      <w:r>
        <w:pict>
          <v:rect style="width:0;height:1.5pt" o:hralign="center" o:hrstd="t" o:hr="t"/>
        </w:pict>
      </w:r>
    </w:p>
    <w:bookmarkStart w:id="9" w:name="the-one-line-setup"/>
    <w:p>
      <w:pPr>
        <w:pStyle w:val="Heading2"/>
      </w:pPr>
      <w:r>
        <w:t xml:space="preserve">The one-line setup</w:t>
      </w:r>
    </w:p>
    <w:p>
      <w:pPr>
        <w:pStyle w:val="FirstParagraph"/>
      </w:pPr>
      <w:r>
        <w:t xml:space="preserve">Generac has transformed from a weather-driven residential generator story into an AI/data-center backup-power play — and the stock has traded like one. GNRC nearly doubled off its December low, then round-tripped almost all of it. The Q2 print itself looks well-telegraphed; the debate is entirely about whether the data-center thesis is accelerating or whether the recent AI-capex jitters are the start of something worse.</w:t>
      </w:r>
    </w:p>
    <w:p>
      <w:r>
        <w:pict>
          <v:rect style="width:0;height:1.5pt" o:hralign="center" o:hrstd="t" o:hr="t"/>
        </w:pict>
      </w:r>
    </w:p>
    <w:bookmarkEnd w:id="9"/>
    <w:bookmarkStart w:id="10" w:name="what-the-street-expects"/>
    <w:p>
      <w:pPr>
        <w:pStyle w:val="Heading2"/>
      </w:pPr>
      <w:r>
        <w:t xml:space="preserve">What the Street expects</w:t>
      </w:r>
    </w:p>
    <w:p>
      <w:pPr>
        <w:pStyle w:val="FirstParagraph"/>
      </w:pPr>
      <w:r>
        <w:t xml:space="preserve">Consensus into the quarter (per the news digest):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Q2'26 Estimate</w:t>
            </w:r>
          </w:p>
        </w:tc>
        <w:tc>
          <w:tcPr/>
          <w:p>
            <w:pPr>
              <w:pStyle w:val="Compact"/>
            </w:pPr>
            <w:r>
              <w:t xml:space="preserve">Q2'25 Actual</w:t>
            </w:r>
          </w:p>
        </w:tc>
        <w:tc>
          <w:tcPr/>
          <w:p>
            <w:pPr>
              <w:pStyle w:val="Compact"/>
            </w:pPr>
            <w:r>
              <w:t xml:space="preserve">Implied Y/Y</w:t>
            </w:r>
          </w:p>
        </w:tc>
      </w:tr>
      <w:tr>
        <w:tc>
          <w:tcPr/>
          <w:p>
            <w:pPr>
              <w:pStyle w:val="Compact"/>
            </w:pPr>
            <w:r>
              <w:t xml:space="preserve">Total net sales</w:t>
            </w:r>
          </w:p>
        </w:tc>
        <w:tc>
          <w:tcPr/>
          <w:p>
            <w:pPr>
              <w:pStyle w:val="Compact"/>
            </w:pPr>
            <w:r>
              <w:t xml:space="preserve">~$1.178B</w:t>
            </w:r>
          </w:p>
        </w:tc>
        <w:tc>
          <w:tcPr/>
          <w:p>
            <w:pPr>
              <w:pStyle w:val="Compact"/>
            </w:pPr>
            <w:r>
              <w:t xml:space="preserve">$1,061M</w:t>
            </w:r>
          </w:p>
        </w:tc>
        <w:tc>
          <w:tcPr/>
          <w:p>
            <w:pPr>
              <w:pStyle w:val="Compact"/>
            </w:pPr>
            <w:r>
              <w:t xml:space="preserve">+11%</w:t>
            </w:r>
          </w:p>
        </w:tc>
      </w:tr>
      <w:tr>
        <w:tc>
          <w:tcPr/>
          <w:p>
            <w:pPr>
              <w:pStyle w:val="Compact"/>
            </w:pPr>
            <w:r>
              <w:t xml:space="preserve">— C&amp;I</w:t>
            </w:r>
          </w:p>
        </w:tc>
        <w:tc>
          <w:tcPr/>
          <w:p>
            <w:pPr>
              <w:pStyle w:val="Compact"/>
            </w:pPr>
            <w:r>
              <w:t xml:space="preserve">~$500M</w:t>
            </w:r>
          </w:p>
        </w:tc>
        <w:tc>
          <w:tcPr/>
          <w:p>
            <w:pPr>
              <w:pStyle w:val="Compact"/>
            </w:pPr>
            <w:r>
              <w:t xml:space="preserve">$362M*</w:t>
            </w:r>
          </w:p>
        </w:tc>
        <w:tc>
          <w:tcPr/>
          <w:p>
            <w:pPr>
              <w:pStyle w:val="Compact"/>
            </w:pPr>
            <w:r>
              <w:t xml:space="preserve">+38%</w:t>
            </w:r>
          </w:p>
        </w:tc>
      </w:tr>
      <w:tr>
        <w:tc>
          <w:tcPr/>
          <w:p>
            <w:pPr>
              <w:pStyle w:val="Compact"/>
            </w:pPr>
            <w:r>
              <w:t xml:space="preserve">— Residential</w:t>
            </w:r>
          </w:p>
        </w:tc>
        <w:tc>
          <w:tcPr/>
          <w:p>
            <w:pPr>
              <w:pStyle w:val="Compact"/>
            </w:pPr>
            <w:r>
              <w:t xml:space="preserve">~$623M</w:t>
            </w:r>
          </w:p>
        </w:tc>
        <w:tc>
          <w:tcPr/>
          <w:p>
            <w:pPr>
              <w:pStyle w:val="Compact"/>
            </w:pPr>
            <w:r>
              <w:t xml:space="preserve">$574M*</w:t>
            </w:r>
          </w:p>
        </w:tc>
        <w:tc>
          <w:tcPr/>
          <w:p>
            <w:pPr>
              <w:pStyle w:val="Compact"/>
            </w:pPr>
            <w:r>
              <w:t xml:space="preserve">+8.5%</w:t>
            </w:r>
          </w:p>
        </w:tc>
      </w:tr>
      <w:tr>
        <w:tc>
          <w:tcPr/>
          <w:p>
            <w:pPr>
              <w:pStyle w:val="Compact"/>
            </w:pPr>
            <w:r>
              <w:t xml:space="preserve">Gross margin</w:t>
            </w:r>
          </w:p>
        </w:tc>
        <w:tc>
          <w:tcPr/>
          <w:p>
            <w:pPr>
              <w:pStyle w:val="Compact"/>
            </w:pPr>
            <w:r>
              <w:t xml:space="preserve">~38.6%</w:t>
            </w:r>
          </w:p>
        </w:tc>
        <w:tc>
          <w:tcPr/>
          <w:p>
            <w:pPr>
              <w:pStyle w:val="Compact"/>
            </w:pPr>
            <w:r>
              <w:t xml:space="preserve">39.3%</w:t>
            </w:r>
          </w:p>
        </w:tc>
        <w:tc>
          <w:tcPr/>
          <w:p>
            <w:pPr>
              <w:pStyle w:val="Compact"/>
            </w:pPr>
            <w:r>
              <w:t xml:space="preserve">−70 bps</w:t>
            </w:r>
          </w:p>
        </w:tc>
      </w:tr>
      <w:tr>
        <w:tc>
          <w:tcPr/>
          <w:p>
            <w:pPr>
              <w:pStyle w:val="Compact"/>
            </w:pPr>
            <w:r>
              <w:t xml:space="preserve">Adjusted EPS</w:t>
            </w:r>
          </w:p>
        </w:tc>
        <w:tc>
          <w:tcPr/>
          <w:p>
            <w:pPr>
              <w:pStyle w:val="Compact"/>
            </w:pPr>
            <w:r>
              <w:t xml:space="preserve">~$1.99</w:t>
            </w:r>
          </w:p>
        </w:tc>
        <w:tc>
          <w:tcPr/>
          <w:p>
            <w:pPr>
              <w:pStyle w:val="Compact"/>
            </w:pPr>
            <w:r>
              <w:t xml:space="preserve">$1.65</w:t>
            </w:r>
          </w:p>
        </w:tc>
        <w:tc>
          <w:tcPr/>
          <w:p>
            <w:pPr>
              <w:pStyle w:val="Compact"/>
            </w:pPr>
            <w:r>
              <w:t xml:space="preserve">+21%</w:t>
            </w:r>
          </w:p>
        </w:tc>
      </w:tr>
    </w:tbl>
    <w:p>
      <w:pPr>
        <w:pStyle w:val="BodyText"/>
      </w:pPr>
      <w:r>
        <w:t xml:space="preserve">*Prior-year figures shown on the legacy product-class basis; note Generac</w:t>
      </w:r>
      <w:r>
        <w:t xml:space="preserve"> </w:t>
      </w:r>
      <w:r>
        <w:rPr>
          <w:b/>
          <w:bCs/>
        </w:rPr>
        <w:t xml:space="preserve">recast its segments</w:t>
      </w:r>
      <w:r>
        <w:t xml:space="preserve"> </w:t>
      </w:r>
      <w:r>
        <w:t xml:space="preserve">at the March Investor Day into "Residential" and "Commercial &amp; Industrial" reportable segments (previously Domestic/International). Watch for apples-to-apples confusion in the headline segment prints.</w:t>
      </w:r>
    </w:p>
    <w:p>
      <w:pPr>
        <w:pStyle w:val="BodyText"/>
      </w:pPr>
      <w:r>
        <w:rPr>
          <w:b/>
          <w:bCs/>
        </w:rPr>
        <w:t xml:space="preserve">How this squares with company guidance:</w:t>
      </w:r>
      <w:r>
        <w:t xml:space="preserve"> </w:t>
      </w:r>
      <w:r>
        <w:t xml:space="preserve">On the Q1 call, management guided Q2 consolidated sales growth of</w:t>
      </w:r>
      <w:r>
        <w:t xml:space="preserve"> </w:t>
      </w:r>
      <w:r>
        <w:rPr>
          <w:b/>
          <w:bCs/>
        </w:rPr>
        <w:t xml:space="preserve">~9–10%, "driven entirely by the C&amp;I segment,"</w:t>
      </w:r>
      <w:r>
        <w:t xml:space="preserve"> </w:t>
      </w:r>
      <w:r>
        <w:t xml:space="preserve">with adjusted EBITDA margin</w:t>
      </w:r>
      <w:r>
        <w:t xml:space="preserve"> </w:t>
      </w:r>
      <w:r>
        <w:rPr>
          <w:b/>
          <w:bCs/>
        </w:rPr>
        <w:t xml:space="preserve">"in the 18% range"</w:t>
      </w:r>
      <w:r>
        <w:t xml:space="preserve"> </w:t>
      </w:r>
      <w:r>
        <w:t xml:space="preserve">(vs. 17.7% in Q2'25) before a bigger second-half ramp. Street's +11% is thus modestly above the guide — consistent with GNRC's recent pattern of setting a beatable Q2 bar.</w:t>
      </w:r>
    </w:p>
    <w:p>
      <w:r>
        <w:pict>
          <v:rect style="width:0;height:1.5pt" o:hralign="center" o:hrstd="t" o:hr="t"/>
        </w:pict>
      </w:r>
    </w:p>
    <w:bookmarkEnd w:id="10"/>
    <w:bookmarkStart w:id="11" w:name="X64f6dac623407d8ffe116d9fe157a940982f44b"/>
    <w:p>
      <w:pPr>
        <w:pStyle w:val="Heading2"/>
      </w:pPr>
      <w:r>
        <w:t xml:space="preserve">The full-year backdrop: guidance was just raised</w:t>
      </w:r>
    </w:p>
    <w:p>
      <w:pPr>
        <w:pStyle w:val="FirstParagraph"/>
      </w:pPr>
      <w:r>
        <w:t xml:space="preserve">On April 29, alongside a strong Q1 (sales +12% to $1.06B, adj. EBITDA margin 18.3% vs. 15.9%, adj. EPS $1.80 vs. $1.26), management</w:t>
      </w:r>
      <w:r>
        <w:t xml:space="preserve"> </w:t>
      </w:r>
      <w:r>
        <w:rPr>
          <w:b/>
          <w:bCs/>
        </w:rPr>
        <w:t xml:space="preserve">raised the full-year 2026 outlook</w:t>
      </w:r>
      <w:r>
        <w:t xml:space="preserve">:</w:t>
      </w:r>
    </w:p>
    <w:p>
      <w:pPr>
        <w:pStyle w:val="Compact"/>
        <w:numPr>
          <w:ilvl w:val="0"/>
          <w:numId w:val="1001"/>
        </w:numPr>
      </w:pPr>
      <w:r>
        <w:rPr>
          <w:b/>
          <w:bCs/>
        </w:rPr>
        <w:t xml:space="preserve">Total sales growth:</w:t>
      </w:r>
      <w:r>
        <w:t xml:space="preserve"> </w:t>
      </w:r>
      <w:r>
        <w:t xml:space="preserve">raised to</w:t>
      </w:r>
      <w:r>
        <w:t xml:space="preserve"> </w:t>
      </w:r>
      <w:r>
        <w:rPr>
          <w:b/>
          <w:bCs/>
        </w:rPr>
        <w:t xml:space="preserve">mid-to-high teens %</w:t>
      </w:r>
      <w:r>
        <w:t xml:space="preserve"> </w:t>
      </w:r>
      <w:r>
        <w:t xml:space="preserve">(from mid-teens)</w:t>
      </w:r>
    </w:p>
    <w:p>
      <w:pPr>
        <w:pStyle w:val="Compact"/>
        <w:numPr>
          <w:ilvl w:val="0"/>
          <w:numId w:val="1001"/>
        </w:numPr>
      </w:pPr>
      <w:r>
        <w:rPr>
          <w:b/>
          <w:bCs/>
        </w:rPr>
        <w:t xml:space="preserve">C&amp;I segment:</w:t>
      </w:r>
      <w:r>
        <w:t xml:space="preserve"> </w:t>
      </w:r>
      <w:r>
        <w:t xml:space="preserve">raised to</w:t>
      </w:r>
      <w:r>
        <w:t xml:space="preserve"> </w:t>
      </w:r>
      <w:r>
        <w:rPr>
          <w:b/>
          <w:bCs/>
        </w:rPr>
        <w:t xml:space="preserve">mid-to-high 20% growth</w:t>
      </w:r>
      <w:r>
        <w:t xml:space="preserve"> </w:t>
      </w:r>
      <w:r>
        <w:t xml:space="preserve">(from low-to-mid 20s)</w:t>
      </w:r>
    </w:p>
    <w:p>
      <w:pPr>
        <w:pStyle w:val="Compact"/>
        <w:numPr>
          <w:ilvl w:val="0"/>
          <w:numId w:val="1001"/>
        </w:numPr>
      </w:pPr>
      <w:r>
        <w:rPr>
          <w:b/>
          <w:bCs/>
        </w:rPr>
        <w:t xml:space="preserve">Residential:</w:t>
      </w:r>
      <w:r>
        <w:t xml:space="preserve"> </w:t>
      </w:r>
      <w:r>
        <w:t xml:space="preserve">unchanged at</w:t>
      </w:r>
      <w:r>
        <w:t xml:space="preserve"> </w:t>
      </w:r>
      <w:r>
        <w:rPr>
          <w:b/>
          <w:bCs/>
        </w:rPr>
        <w:t xml:space="preserve">~10% growth</w:t>
      </w:r>
    </w:p>
    <w:p>
      <w:pPr>
        <w:pStyle w:val="Compact"/>
        <w:numPr>
          <w:ilvl w:val="0"/>
          <w:numId w:val="1001"/>
        </w:numPr>
      </w:pPr>
      <w:r>
        <w:rPr>
          <w:b/>
          <w:bCs/>
        </w:rPr>
        <w:t xml:space="preserve">Adjusted EBITDA margin:</w:t>
      </w:r>
      <w:r>
        <w:t xml:space="preserve"> </w:t>
      </w:r>
      <w:r>
        <w:t xml:space="preserve">raised to</w:t>
      </w:r>
      <w:r>
        <w:t xml:space="preserve"> </w:t>
      </w:r>
      <w:r>
        <w:rPr>
          <w:b/>
          <w:bCs/>
        </w:rPr>
        <w:t xml:space="preserve">18.5–19.5%</w:t>
      </w:r>
      <w:r>
        <w:t xml:space="preserve"> </w:t>
      </w:r>
      <w:r>
        <w:t xml:space="preserve">(from 18.0–19.0%)</w:t>
      </w:r>
    </w:p>
    <w:p>
      <w:pPr>
        <w:pStyle w:val="Compact"/>
        <w:numPr>
          <w:ilvl w:val="0"/>
          <w:numId w:val="1001"/>
        </w:numPr>
      </w:pPr>
      <w:r>
        <w:t xml:space="preserve">Full-year FCF ~$350M; capex ~3.5% of sales; ~59.5–60M diluted shares</w:t>
      </w:r>
    </w:p>
    <w:p>
      <w:pPr>
        <w:pStyle w:val="FirstParagraph"/>
      </w:pPr>
      <w:r>
        <w:t xml:space="preserve">Because the second half is guided to be ~55% weighted (Q4 EBITDA margin ~20%),</w:t>
      </w:r>
      <w:r>
        <w:t xml:space="preserve"> </w:t>
      </w:r>
      <w:r>
        <w:rPr>
          <w:b/>
          <w:bCs/>
        </w:rPr>
        <w:t xml:space="preserve">Q2 is the "quiet" quarter before the ramp.</w:t>
      </w:r>
      <w:r>
        <w:t xml:space="preserve"> </w:t>
      </w:r>
      <w:r>
        <w:t xml:space="preserve">The key question is whether Q2 momentum is strong enough to tee up</w:t>
      </w:r>
      <w:r>
        <w:t xml:space="preserve"> </w:t>
      </w:r>
      <w:r>
        <w:rPr>
          <w:i/>
          <w:iCs/>
        </w:rPr>
        <w:t xml:space="preserve">another</w:t>
      </w:r>
      <w:r>
        <w:t xml:space="preserve"> </w:t>
      </w:r>
      <w:r>
        <w:t xml:space="preserve">full-year raise — that's what the recently-battered stock likely needs.</w:t>
      </w:r>
    </w:p>
    <w:p>
      <w:r>
        <w:pict>
          <v:rect style="width:0;height:1.5pt" o:hralign="center" o:hrstd="t" o:hr="t"/>
        </w:pict>
      </w:r>
    </w:p>
    <w:bookmarkEnd w:id="11"/>
    <w:bookmarkStart w:id="12" w:name="the-bull-case-the-data-center-engine"/>
    <w:p>
      <w:pPr>
        <w:pStyle w:val="Heading2"/>
      </w:pPr>
      <w:r>
        <w:t xml:space="preserve">The bull case: the data-center engine</w:t>
      </w:r>
    </w:p>
    <w:p>
      <w:pPr>
        <w:pStyle w:val="FirstParagraph"/>
      </w:pPr>
      <w:r>
        <w:t xml:space="preserve">This is now the whole story. Key facts from the Q1 call/release:</w:t>
      </w:r>
    </w:p>
    <w:p>
      <w:pPr>
        <w:pStyle w:val="Compact"/>
        <w:numPr>
          <w:ilvl w:val="0"/>
          <w:numId w:val="1002"/>
        </w:numPr>
      </w:pPr>
      <w:r>
        <w:t xml:space="preserve">**Backlog &gt;</w:t>
      </w:r>
      <m:oMath>
        <m:r>
          <m:t>700</m:t>
        </m:r>
        <m:r>
          <m:t>M</m:t>
        </m:r>
        <m:r>
          <m:rPr>
            <m:sty m:val="p"/>
          </m:rPr>
          <m:t>*</m:t>
        </m:r>
        <m:r>
          <m:rPr>
            <m:sty m:val="p"/>
          </m:rPr>
          <m:t>*</m:t>
        </m:r>
        <m:r>
          <m:t>f</m:t>
        </m:r>
        <m:r>
          <m:t>o</m:t>
        </m:r>
        <m:r>
          <m:t>r</m:t>
        </m:r>
        <m:r>
          <m:t>d</m:t>
        </m:r>
        <m:r>
          <m:t>a</m:t>
        </m:r>
        <m:r>
          <m:t>t</m:t>
        </m:r>
        <m:r>
          <m:t>a</m:t>
        </m:r>
        <m:r>
          <m:rPr>
            <m:sty m:val="p"/>
          </m:rPr>
          <m:t>−</m:t>
        </m:r>
        <m:r>
          <m:t>c</m:t>
        </m:r>
        <m:r>
          <m:t>e</m:t>
        </m:r>
        <m:r>
          <m:t>n</m:t>
        </m:r>
        <m:r>
          <m:t>t</m:t>
        </m:r>
        <m:r>
          <m:t>e</m:t>
        </m:r>
        <m:r>
          <m:t>r</m:t>
        </m:r>
        <m:r>
          <m:t>p</m:t>
        </m:r>
        <m:r>
          <m:t>r</m:t>
        </m:r>
        <m:r>
          <m:t>o</m:t>
        </m:r>
        <m:r>
          <m:t>d</m:t>
        </m:r>
        <m:r>
          <m:t>u</m:t>
        </m:r>
        <m:r>
          <m:t>c</m:t>
        </m:r>
        <m:r>
          <m:t>t</m:t>
        </m:r>
        <m:r>
          <m:t>s</m:t>
        </m:r>
        <m:r>
          <m:rPr>
            <m:sty m:val="p"/>
          </m:rPr>
          <m:t>,</m:t>
        </m:r>
        <m:r>
          <m:t>u</m:t>
        </m:r>
        <m:r>
          <m:t>p</m:t>
        </m:r>
        <m:r>
          <m:t> </m:t>
        </m:r>
      </m:oMath>
      <w:r>
        <w:t xml:space="preserve">300M since mid-February — and this</w:t>
      </w:r>
      <w:r>
        <w:t xml:space="preserve"> </w:t>
      </w:r>
      <w:r>
        <w:rPr>
          <w:b/>
          <w:bCs/>
        </w:rPr>
        <w:t xml:space="preserve">excludes</w:t>
      </w:r>
      <w:r>
        <w:t xml:space="preserve"> </w:t>
      </w:r>
      <w:r>
        <w:t xml:space="preserve">the ~$600M nonbinding "notice to proceed" for 2027 deliveries from one hyperscaler.</w:t>
      </w:r>
    </w:p>
    <w:p>
      <w:pPr>
        <w:pStyle w:val="Compact"/>
        <w:numPr>
          <w:ilvl w:val="0"/>
          <w:numId w:val="1002"/>
        </w:numPr>
      </w:pPr>
      <w:r>
        <w:rPr>
          <w:b/>
          <w:bCs/>
        </w:rPr>
        <w:t xml:space="preserve">Two hyperscale customers</w:t>
      </w:r>
      <w:r>
        <w:t xml:space="preserve"> </w:t>
      </w:r>
      <w:r>
        <w:t xml:space="preserve">in the final stages of vendor approval; Jagdfeld described being "99 yards" through a 100-yard dash with the lead account, with the second "close behind." Both are framed as</w:t>
      </w:r>
      <w:r>
        <w:t xml:space="preserve"> </w:t>
      </w:r>
      <w:r>
        <w:rPr>
          <w:b/>
          <w:bCs/>
        </w:rPr>
        <w:t xml:space="preserve">multi-year</w:t>
      </w:r>
      <w:r>
        <w:t xml:space="preserve"> </w:t>
      </w:r>
      <w:r>
        <w:t xml:space="preserve">opportunities.</w:t>
      </w:r>
    </w:p>
    <w:p>
      <w:pPr>
        <w:pStyle w:val="Compact"/>
        <w:numPr>
          <w:ilvl w:val="0"/>
          <w:numId w:val="1002"/>
        </w:numPr>
      </w:pPr>
      <w:r>
        <w:rPr>
          <w:b/>
          <w:bCs/>
        </w:rPr>
        <w:t xml:space="preserve">Capacity:</w:t>
      </w:r>
      <w:r>
        <w:t xml:space="preserve"> </w:t>
      </w:r>
      <w:r>
        <w:t xml:space="preserve">the new</w:t>
      </w:r>
      <w:r>
        <w:t xml:space="preserve"> </w:t>
      </w:r>
      <w:r>
        <w:rPr>
          <w:b/>
          <w:bCs/>
        </w:rPr>
        <w:t xml:space="preserve">Sussex, WI</w:t>
      </w:r>
      <w:r>
        <w:t xml:space="preserve"> </w:t>
      </w:r>
      <w:r>
        <w:t xml:space="preserve">facility remains on track for H2 production (management is trying to pull it into Q3), lifting domestic large-genset capacity to **&gt;</w:t>
      </w:r>
      <w:r>
        <w:t xml:space="preserve">$1B by Q4 2026** — and management is already talking about needing "a bigger boat" ($</w:t>
      </w:r>
      <w:r>
        <w:t xml:space="preserve">2–3B) if it wins both hyperscalers.</w:t>
      </w:r>
    </w:p>
    <w:p>
      <w:pPr>
        <w:pStyle w:val="Compact"/>
        <w:numPr>
          <w:ilvl w:val="0"/>
          <w:numId w:val="1002"/>
        </w:numPr>
      </w:pPr>
      <w:r>
        <w:rPr>
          <w:b/>
          <w:bCs/>
        </w:rPr>
        <w:t xml:space="preserve">Enercon</w:t>
      </w:r>
      <w:r>
        <w:t xml:space="preserve"> </w:t>
      </w:r>
      <w:r>
        <w:t xml:space="preserve">(closed April 1) brings enclosure/switchgear packaging in-house, adds ~50 bps to C&amp;I margins, and addresses an industry packaging bottleneck.</w:t>
      </w:r>
    </w:p>
    <w:p>
      <w:pPr>
        <w:pStyle w:val="Compact"/>
        <w:numPr>
          <w:ilvl w:val="0"/>
          <w:numId w:val="1002"/>
        </w:numPr>
      </w:pPr>
      <w:r>
        <w:rPr>
          <w:b/>
          <w:bCs/>
        </w:rPr>
        <w:t xml:space="preserve">Broadening C&amp;I recovery</w:t>
      </w:r>
      <w:r>
        <w:t xml:space="preserve"> </w:t>
      </w:r>
      <w:r>
        <w:t xml:space="preserve">beyond data centers: telecom orders inflecting up, a</w:t>
      </w:r>
      <w:r>
        <w:t xml:space="preserve"> </w:t>
      </w:r>
      <w:r>
        <w:rPr>
          <w:b/>
          <w:bCs/>
        </w:rPr>
        <w:t xml:space="preserve">rental refleeting cycle</w:t>
      </w:r>
      <w:r>
        <w:t xml:space="preserve"> </w:t>
      </w:r>
      <w:r>
        <w:t xml:space="preserve">underway (aided by the January Allmand acquisition), and a new full product line up to 3.25 MW (4 MW on the drawing board) opening traditional spec markets.</w:t>
      </w:r>
    </w:p>
    <w:p>
      <w:pPr>
        <w:pStyle w:val="FirstParagraph"/>
      </w:pPr>
      <w:r>
        <w:rPr>
          <w:b/>
          <w:bCs/>
        </w:rPr>
        <w:t xml:space="preserve">What to listen for on the call:</w:t>
      </w:r>
      <w:r>
        <w:t xml:space="preserve"> </w:t>
      </w:r>
      <w:r>
        <w:t xml:space="preserve">any conversion of the</w:t>
      </w:r>
      <w:r>
        <w:t xml:space="preserve"> </w:t>
      </w:r>
      <m:oMath>
        <m:r>
          <m:t>600</m:t>
        </m:r>
        <m:r>
          <m:t>M</m:t>
        </m:r>
        <m:r>
          <m:t>N</m:t>
        </m:r>
        <m:r>
          <m:t>T</m:t>
        </m:r>
        <m:r>
          <m:t>P</m:t>
        </m:r>
        <m:r>
          <m:t>i</m:t>
        </m:r>
        <m:r>
          <m:t>n</m:t>
        </m:r>
        <m:r>
          <m:t>t</m:t>
        </m:r>
        <m:r>
          <m:t>o</m:t>
        </m:r>
        <m:r>
          <m:t>a</m:t>
        </m:r>
        <m:r>
          <m:t>b</m:t>
        </m:r>
        <m:r>
          <m:t>i</m:t>
        </m:r>
        <m:r>
          <m:t>n</m:t>
        </m:r>
        <m:r>
          <m:t>d</m:t>
        </m:r>
        <m:r>
          <m:t>i</m:t>
        </m:r>
        <m:r>
          <m:t>n</m:t>
        </m:r>
        <m:r>
          <m:t>g</m:t>
        </m:r>
        <m:r>
          <m:t>m</m:t>
        </m:r>
        <m:r>
          <m:t>a</m:t>
        </m:r>
        <m:r>
          <m:t>s</m:t>
        </m:r>
        <m:r>
          <m:t>t</m:t>
        </m:r>
        <m:r>
          <m:t>e</m:t>
        </m:r>
        <m:r>
          <m:t>r</m:t>
        </m:r>
        <m:r>
          <m:t>s</m:t>
        </m:r>
        <m:r>
          <m:t>u</m:t>
        </m:r>
        <m:r>
          <m:t>p</m:t>
        </m:r>
        <m:r>
          <m:t>p</m:t>
        </m:r>
        <m:r>
          <m:t>l</m:t>
        </m:r>
        <m:r>
          <m:t>y</m:t>
        </m:r>
        <m:r>
          <m:t>a</m:t>
        </m:r>
        <m:r>
          <m:t>g</m:t>
        </m:r>
        <m:r>
          <m:t>r</m:t>
        </m:r>
        <m:r>
          <m:t>e</m:t>
        </m:r>
        <m:r>
          <m:t>e</m:t>
        </m:r>
        <m:r>
          <m:t>m</m:t>
        </m:r>
        <m:r>
          <m:t>e</m:t>
        </m:r>
        <m:r>
          <m:t>n</m:t>
        </m:r>
        <m:r>
          <m:t>t</m:t>
        </m:r>
        <m:r>
          <m:rPr>
            <m:sty m:val="p"/>
          </m:rPr>
          <m:t>,</m:t>
        </m:r>
        <m:r>
          <m:t>o</m:t>
        </m:r>
        <m:r>
          <m:t>f</m:t>
        </m:r>
        <m:r>
          <m:t>f</m:t>
        </m:r>
        <m:r>
          <m:t>i</m:t>
        </m:r>
        <m:r>
          <m:t>c</m:t>
        </m:r>
        <m:r>
          <m:t>i</m:t>
        </m:r>
        <m:r>
          <m:t>a</m:t>
        </m:r>
        <m:r>
          <m:t>l</m:t>
        </m:r>
        <m:r>
          <m:t>a</m:t>
        </m:r>
        <m:r>
          <m:t>d</m:t>
        </m:r>
        <m:r>
          <m:t>d</m:t>
        </m:r>
        <m:r>
          <m:t>i</m:t>
        </m:r>
        <m:r>
          <m:t>t</m:t>
        </m:r>
        <m:r>
          <m:t>i</m:t>
        </m:r>
        <m:r>
          <m:t>o</m:t>
        </m:r>
        <m:r>
          <m:t>n</m:t>
        </m:r>
        <m:r>
          <m:t>t</m:t>
        </m:r>
        <m:r>
          <m:t>o</m:t>
        </m:r>
        <m:r>
          <m:t>a</m:t>
        </m:r>
        <m:r>
          <m:t>h</m:t>
        </m:r>
        <m:r>
          <m:t>y</m:t>
        </m:r>
        <m:r>
          <m:t>p</m:t>
        </m:r>
        <m:r>
          <m:t>e</m:t>
        </m:r>
        <m:r>
          <m:t>r</m:t>
        </m:r>
        <m:r>
          <m:t>s</m:t>
        </m:r>
        <m:r>
          <m:t>c</m:t>
        </m:r>
        <m:r>
          <m:t>a</m:t>
        </m:r>
        <m:r>
          <m:t>l</m:t>
        </m:r>
        <m:r>
          <m:t>e</m:t>
        </m:r>
        <m:sSup>
          <m:e>
            <m:r>
              <m:t>r</m:t>
            </m:r>
          </m:e>
          <m:sup>
            <m:r>
              <m:rPr>
                <m:sty m:val="p"/>
              </m:rPr>
              <m:t>′</m:t>
            </m:r>
          </m:sup>
        </m:sSup>
        <m:r>
          <m:t>s</m:t>
        </m:r>
        <m:r>
          <m:t>a</m:t>
        </m:r>
        <m:r>
          <m:t>p</m:t>
        </m:r>
        <m:r>
          <m:t>p</m:t>
        </m:r>
        <m:r>
          <m:t>r</m:t>
        </m:r>
        <m:r>
          <m:t>o</m:t>
        </m:r>
        <m:r>
          <m:t>v</m:t>
        </m:r>
        <m:r>
          <m:t>e</m:t>
        </m:r>
        <m:r>
          <m:t>d</m:t>
        </m:r>
        <m:r>
          <m:t>v</m:t>
        </m:r>
        <m:r>
          <m:t>e</m:t>
        </m:r>
        <m:r>
          <m:t>n</m:t>
        </m:r>
        <m:r>
          <m:t>d</m:t>
        </m:r>
        <m:r>
          <m:t>o</m:t>
        </m:r>
        <m:r>
          <m:t>r</m:t>
        </m:r>
        <m:r>
          <m:t>l</m:t>
        </m:r>
        <m:r>
          <m:t>i</m:t>
        </m:r>
        <m:r>
          <m:t>s</m:t>
        </m:r>
        <m:r>
          <m:t>t</m:t>
        </m:r>
        <m:r>
          <m:rPr>
            <m:sty m:val="p"/>
          </m:rPr>
          <m:t>,</m:t>
        </m:r>
        <m:r>
          <m:t>a</m:t>
        </m:r>
        <m:r>
          <m:rPr>
            <m:sty m:val="p"/>
          </m:rPr>
          <m:t>*</m:t>
        </m:r>
        <m:r>
          <m:t>n</m:t>
        </m:r>
        <m:r>
          <m:t>e</m:t>
        </m:r>
        <m:r>
          <m:t>w</m:t>
        </m:r>
        <m:r>
          <m:rPr>
            <m:sty m:val="p"/>
          </m:rPr>
          <m:t>*</m:t>
        </m:r>
        <m:r>
          <m:t>b</m:t>
        </m:r>
        <m:r>
          <m:t>a</m:t>
        </m:r>
        <m:r>
          <m:t>c</m:t>
        </m:r>
        <m:r>
          <m:t>k</m:t>
        </m:r>
        <m:r>
          <m:t>l</m:t>
        </m:r>
        <m:r>
          <m:t>o</m:t>
        </m:r>
        <m:r>
          <m:t>g</m:t>
        </m:r>
        <m:r>
          <m:t>f</m:t>
        </m:r>
        <m:r>
          <m:t>i</m:t>
        </m:r>
        <m:r>
          <m:t>g</m:t>
        </m:r>
        <m:r>
          <m:t>u</m:t>
        </m:r>
        <m:r>
          <m:t>r</m:t>
        </m:r>
        <m:r>
          <m:t>e</m:t>
        </m:r>
        <m:r>
          <m:rPr>
            <m:sty m:val="p"/>
          </m:rPr>
          <m:t>(</m:t>
        </m:r>
        <m:r>
          <m:rPr>
            <m:sty m:val="p"/>
          </m:rPr>
          <m:t>&gt;</m:t>
        </m:r>
      </m:oMath>
      <w:r>
        <w:t xml:space="preserve">700M), and 2027 revenue visibility. Confirmation of a signed hyperscale deal would be the single biggest positive catalyst.</w:t>
      </w:r>
    </w:p>
    <w:p>
      <w:r>
        <w:pict>
          <v:rect style="width:0;height:1.5pt" o:hralign="center" o:hrstd="t" o:hr="t"/>
        </w:pict>
      </w:r>
    </w:p>
    <w:bookmarkEnd w:id="12"/>
    <w:bookmarkStart w:id="13" w:name="residential-the-quiet-margin-story"/>
    <w:p>
      <w:pPr>
        <w:pStyle w:val="Heading2"/>
      </w:pPr>
      <w:r>
        <w:t xml:space="preserve">Residential: the quiet margin story</w:t>
      </w:r>
    </w:p>
    <w:p>
      <w:pPr>
        <w:pStyle w:val="Compact"/>
        <w:numPr>
          <w:ilvl w:val="0"/>
          <w:numId w:val="1003"/>
        </w:numPr>
      </w:pPr>
      <w:r>
        <w:t xml:space="preserve">Q1 Residential EBITDA margin expanded</w:t>
      </w:r>
      <w:r>
        <w:t xml:space="preserve"> </w:t>
      </w:r>
      <w:r>
        <w:rPr>
          <w:b/>
          <w:bCs/>
        </w:rPr>
        <w:t xml:space="preserve">~500 bps</w:t>
      </w:r>
      <w:r>
        <w:t xml:space="preserve"> </w:t>
      </w:r>
      <w:r>
        <w:t xml:space="preserve">(to 25.1%) on the "Generac Home" reorg (consolidating home standby, portables and energy tech) plus favorable price/cost. Management framed ~3 pts of that as sustainable OpEx savings.</w:t>
      </w:r>
    </w:p>
    <w:p>
      <w:pPr>
        <w:pStyle w:val="Compact"/>
        <w:numPr>
          <w:ilvl w:val="0"/>
          <w:numId w:val="1003"/>
        </w:numPr>
      </w:pPr>
      <w:r>
        <w:t xml:space="preserve">Home standby was ~flat in Q1 (tough hurricane comp) but management expects a</w:t>
      </w:r>
      <w:r>
        <w:t xml:space="preserve"> </w:t>
      </w:r>
      <w:r>
        <w:rPr>
          <w:b/>
          <w:bCs/>
        </w:rPr>
        <w:t xml:space="preserve">H2 return to growth</w:t>
      </w:r>
      <w:r>
        <w:t xml:space="preserve">, helped by ~half price / half volume, an easier comp against the very weak H2'25 outage environment, and a normal baseline-outage assumption.</w:t>
      </w:r>
    </w:p>
    <w:p>
      <w:pPr>
        <w:pStyle w:val="Compact"/>
        <w:numPr>
          <w:ilvl w:val="0"/>
          <w:numId w:val="1003"/>
        </w:numPr>
      </w:pPr>
      <w:r>
        <w:rPr>
          <w:b/>
          <w:bCs/>
        </w:rPr>
        <w:t xml:space="preserve">ecobee</w:t>
      </w:r>
      <w:r>
        <w:t xml:space="preserve"> </w:t>
      </w:r>
      <w:r>
        <w:t xml:space="preserve">crossed</w:t>
      </w:r>
      <w:r>
        <w:t xml:space="preserve"> </w:t>
      </w:r>
      <w:r>
        <w:rPr>
          <w:b/>
          <w:bCs/>
        </w:rPr>
        <w:t xml:space="preserve">5M connected homes</w:t>
      </w:r>
      <w:r>
        <w:t xml:space="preserve"> </w:t>
      </w:r>
      <w:r>
        <w:t xml:space="preserve">and posted its first positive adjusted EBITDA; the residential energy-tech breakeven timeline remains 2027.</w:t>
      </w:r>
    </w:p>
    <w:p>
      <w:pPr>
        <w:pStyle w:val="Compact"/>
        <w:numPr>
          <w:ilvl w:val="0"/>
          <w:numId w:val="1003"/>
        </w:numPr>
      </w:pPr>
      <w:r>
        <w:t xml:space="preserve">Watch: dealer count (&gt;9,500), home-consultation/close-rate trends following Winter Storm Fern, and whether Residential margins hold near the Q1 high-water mark.</w:t>
      </w:r>
    </w:p>
    <w:p>
      <w:r>
        <w:pict>
          <v:rect style="width:0;height:1.5pt" o:hralign="center" o:hrstd="t" o:hr="t"/>
        </w:pict>
      </w:r>
    </w:p>
    <w:bookmarkEnd w:id="13"/>
    <w:bookmarkStart w:id="14" w:name="stock-positioning-and-valuation-context"/>
    <w:p>
      <w:pPr>
        <w:pStyle w:val="Heading2"/>
      </w:pPr>
      <w:r>
        <w:t xml:space="preserve">Stock, positioning and valuation context</w:t>
      </w:r>
    </w:p>
    <w:p>
      <w:pPr>
        <w:pStyle w:val="Compact"/>
        <w:numPr>
          <w:ilvl w:val="0"/>
          <w:numId w:val="1004"/>
        </w:numPr>
      </w:pPr>
      <w:r>
        <w:rPr>
          <w:b/>
          <w:bCs/>
        </w:rPr>
        <w:t xml:space="preserve">Price action:</w:t>
      </w:r>
      <w:r>
        <w:t xml:space="preserve"> </w:t>
      </w:r>
      <w:r>
        <w:t xml:space="preserve">GNRC surged from ~</w:t>
      </w:r>
      <m:oMath>
        <m:r>
          <m:t>182</m:t>
        </m:r>
        <m:r>
          <m:t>p</m:t>
        </m:r>
        <m:r>
          <m:t>r</m:t>
        </m:r>
        <m:r>
          <m:t>e</m:t>
        </m:r>
        <m:r>
          <m:rPr>
            <m:sty m:val="p"/>
          </m:rPr>
          <m:t>−</m:t>
        </m:r>
        <m:r>
          <m:t>Q</m:t>
        </m:r>
        <m:r>
          <m:t>4</m:t>
        </m:r>
        <m:r>
          <m:rPr>
            <m:sty m:val="p"/>
          </m:rPr>
          <m:t>(</m:t>
        </m:r>
        <m:r>
          <m:t>F</m:t>
        </m:r>
        <m:r>
          <m:t>e</m:t>
        </m:r>
        <m:r>
          <m:t>b</m:t>
        </m:r>
        <m:r>
          <m:rPr>
            <m:sty m:val="p"/>
          </m:rPr>
          <m:t>)</m:t>
        </m:r>
        <m:r>
          <m:t>t</m:t>
        </m:r>
        <m:r>
          <m:t>o</m:t>
        </m:r>
        <m:r>
          <m:t>a</m:t>
        </m:r>
        <m:r>
          <m:rPr>
            <m:sty m:val="p"/>
          </m:rPr>
          <m:t>*</m:t>
        </m:r>
        <m:r>
          <m:rPr>
            <m:sty m:val="p"/>
          </m:rPr>
          <m:t>*</m:t>
        </m:r>
        <m:r>
          <m:t>p</m:t>
        </m:r>
        <m:r>
          <m:t>e</m:t>
        </m:r>
        <m:r>
          <m:t>a</m:t>
        </m:r>
        <m:r>
          <m:t>k</m:t>
        </m:r>
        <m:r>
          <m:t>o</m:t>
        </m:r>
        <m:r>
          <m:t>f</m:t>
        </m:r>
        <m:r>
          <m:t> </m:t>
        </m:r>
      </m:oMath>
      <w:r>
        <w:t xml:space="preserve">295 on 6/22**, then **fell ~34% to ~</w:t>
      </w:r>
      <m:oMath>
        <m:r>
          <m:t>196</m:t>
        </m:r>
        <m:r>
          <m:rPr>
            <m:sty m:val="p"/>
          </m:rPr>
          <m:t>*</m:t>
        </m:r>
        <m:r>
          <m:rPr>
            <m:sty m:val="p"/>
          </m:rPr>
          <m:t>*</m:t>
        </m:r>
        <m:r>
          <m:t>i</m:t>
        </m:r>
        <m:r>
          <m:t>n</m:t>
        </m:r>
        <m:r>
          <m:t>t</m:t>
        </m:r>
        <m:r>
          <m:t>o</m:t>
        </m:r>
        <m:r>
          <m:t>t</m:t>
        </m:r>
        <m:r>
          <m:t>h</m:t>
        </m:r>
        <m:r>
          <m:t>e</m:t>
        </m:r>
        <m:r>
          <m:t>p</m:t>
        </m:r>
        <m:r>
          <m:t>r</m:t>
        </m:r>
        <m:r>
          <m:t>i</m:t>
        </m:r>
        <m:r>
          <m:t>n</m:t>
        </m:r>
        <m:r>
          <m:t>t</m:t>
        </m:r>
        <m:r>
          <m:rPr>
            <m:sty m:val="p"/>
          </m:rPr>
          <m:t>—</m:t>
        </m:r>
        <m:r>
          <m:t>e</m:t>
        </m:r>
        <m:r>
          <m:t>s</m:t>
        </m:r>
        <m:r>
          <m:t>s</m:t>
        </m:r>
        <m:r>
          <m:t>e</m:t>
        </m:r>
        <m:r>
          <m:t>n</m:t>
        </m:r>
        <m:r>
          <m:t>t</m:t>
        </m:r>
        <m:r>
          <m:t>i</m:t>
        </m:r>
        <m:r>
          <m:t>a</m:t>
        </m:r>
        <m:r>
          <m:t>l</m:t>
        </m:r>
        <m:r>
          <m:t>l</m:t>
        </m:r>
        <m:r>
          <m:t>y</m:t>
        </m:r>
        <m:r>
          <m:t>r</m:t>
        </m:r>
        <m:r>
          <m:t>o</m:t>
        </m:r>
        <m:r>
          <m:t>u</m:t>
        </m:r>
        <m:r>
          <m:t>n</m:t>
        </m:r>
        <m:r>
          <m:t>d</m:t>
        </m:r>
        <m:r>
          <m:rPr>
            <m:sty m:val="p"/>
          </m:rPr>
          <m:t>−</m:t>
        </m:r>
        <m:r>
          <m:t>t</m:t>
        </m:r>
        <m:r>
          <m:t>r</m:t>
        </m:r>
        <m:r>
          <m:t>i</m:t>
        </m:r>
        <m:r>
          <m:t>p</m:t>
        </m:r>
        <m:r>
          <m:t>p</m:t>
        </m:r>
        <m:r>
          <m:t>i</m:t>
        </m:r>
        <m:r>
          <m:t>n</m:t>
        </m:r>
        <m:r>
          <m:t>g</m:t>
        </m:r>
        <m:r>
          <m:t>t</m:t>
        </m:r>
        <m:r>
          <m:t>h</m:t>
        </m:r>
        <m:r>
          <m:t>e</m:t>
        </m:r>
        <m:r>
          <m:t>e</m:t>
        </m:r>
        <m:r>
          <m:t>n</m:t>
        </m:r>
        <m:r>
          <m:t>t</m:t>
        </m:r>
        <m:r>
          <m:t>i</m:t>
        </m:r>
        <m:r>
          <m:t>r</m:t>
        </m:r>
        <m:r>
          <m:t>e</m:t>
        </m:r>
        <m:r>
          <m:t>d</m:t>
        </m:r>
        <m:r>
          <m:t>a</m:t>
        </m:r>
        <m:r>
          <m:t>t</m:t>
        </m:r>
        <m:r>
          <m:t>a</m:t>
        </m:r>
        <m:r>
          <m:rPr>
            <m:sty m:val="p"/>
          </m:rPr>
          <m:t>−</m:t>
        </m:r>
        <m:r>
          <m:t>c</m:t>
        </m:r>
        <m:r>
          <m:t>e</m:t>
        </m:r>
        <m:r>
          <m:t>n</m:t>
        </m:r>
        <m:r>
          <m:t>t</m:t>
        </m:r>
        <m:r>
          <m:t>e</m:t>
        </m:r>
        <m:r>
          <m:t>r</m:t>
        </m:r>
        <m:r>
          <m:t>r</m:t>
        </m:r>
        <m:r>
          <m:t>a</m:t>
        </m:r>
        <m:r>
          <m:t>l</m:t>
        </m:r>
        <m:r>
          <m:t>l</m:t>
        </m:r>
        <m:r>
          <m:t>y</m:t>
        </m:r>
        <m:r>
          <m:rPr>
            <m:sty m:val="p"/>
          </m:rPr>
          <m:t>.</m:t>
        </m:r>
        <m:r>
          <m:t>I</m:t>
        </m:r>
        <m:sSup>
          <m:e>
            <m:r>
              <m:t>t</m:t>
            </m:r>
          </m:e>
          <m:sup>
            <m:r>
              <m:rPr>
                <m:sty m:val="p"/>
              </m:rPr>
              <m:t>′</m:t>
            </m:r>
          </m:sup>
        </m:sSup>
        <m:r>
          <m:t>s</m:t>
        </m:r>
        <m:r>
          <m:t>s</m:t>
        </m:r>
        <m:r>
          <m:t>t</m:t>
        </m:r>
        <m:r>
          <m:t>i</m:t>
        </m:r>
        <m:r>
          <m:t>l</m:t>
        </m:r>
        <m:r>
          <m:t>l</m:t>
        </m:r>
        <m:r>
          <m:rPr>
            <m:sty m:val="p"/>
          </m:rPr>
          <m:t>*</m:t>
        </m:r>
        <m:r>
          <m:rPr>
            <m:sty m:val="p"/>
          </m:rPr>
          <m:t>*</m:t>
        </m:r>
        <m:r>
          <m:t> </m:t>
        </m:r>
        <m:r>
          <m:rPr>
            <m:sty m:val="p"/>
          </m:rPr>
          <m:t>+</m:t>
        </m:r>
        <m:r>
          <m:t>43</m:t>
        </m:r>
      </m:oMath>
      <w:r>
        <w:t xml:space="preserve">136).</w:t>
      </w:r>
    </w:p>
    <w:p>
      <w:pPr>
        <w:pStyle w:val="Compact"/>
        <w:numPr>
          <w:ilvl w:val="0"/>
          <w:numId w:val="1004"/>
        </w:numPr>
      </w:pPr>
      <w:r>
        <w:rPr>
          <w:b/>
          <w:bCs/>
        </w:rPr>
        <w:t xml:space="preserve">The pullback is largely macro/thematic, not company-specific.</w:t>
      </w:r>
      <w:r>
        <w:t xml:space="preserve"> </w:t>
      </w:r>
      <w:r>
        <w:t xml:space="preserve">It coincides with a sharp AI-capex "greed-to-fear" rotation — SK Hynix down ~47% from its June high, broad AI-semi selling on frothy-valuation/overspend fears. As a data-center-levered name, GNRC got swept up in the de-rating.</w:t>
      </w:r>
    </w:p>
    <w:p>
      <w:pPr>
        <w:pStyle w:val="Compact"/>
        <w:numPr>
          <w:ilvl w:val="0"/>
          <w:numId w:val="1004"/>
        </w:numPr>
      </w:pPr>
      <w:r>
        <w:rPr>
          <w:b/>
          <w:bCs/>
        </w:rPr>
        <w:t xml:space="preserve">Insider activity:</w:t>
      </w:r>
      <w:r>
        <w:t xml:space="preserve"> </w:t>
      </w:r>
      <w:r>
        <w:t xml:space="preserve">small planned (10b5-1) sales by CEO Jagdfeld (~</w:t>
      </w:r>
      <m:oMath>
        <m:r>
          <m:t>1.4</m:t>
        </m:r>
        <m:r>
          <m:t>M</m:t>
        </m:r>
        <m:r>
          <m:rPr>
            <m:sty m:val="p"/>
          </m:rPr>
          <m:t>)</m:t>
        </m:r>
        <m:r>
          <m:t>a</m:t>
        </m:r>
        <m:r>
          <m:t>n</m:t>
        </m:r>
        <m:r>
          <m:t>d</m:t>
        </m:r>
        <m:r>
          <m:t>G</m:t>
        </m:r>
        <m:r>
          <m:t>e</m:t>
        </m:r>
        <m:r>
          <m:t>n</m:t>
        </m:r>
        <m:r>
          <m:t>e</m:t>
        </m:r>
        <m:r>
          <m:t>r</m:t>
        </m:r>
        <m:r>
          <m:t>a</m:t>
        </m:r>
        <m:r>
          <m:t>c</m:t>
        </m:r>
        <m:r>
          <m:t>H</m:t>
        </m:r>
        <m:r>
          <m:t>o</m:t>
        </m:r>
        <m:r>
          <m:t>m</m:t>
        </m:r>
        <m:r>
          <m:t>e</m:t>
        </m:r>
        <m:r>
          <m:t>p</m:t>
        </m:r>
        <m:r>
          <m:t>r</m:t>
        </m:r>
        <m:r>
          <m:t>e</m:t>
        </m:r>
        <m:r>
          <m:t>s</m:t>
        </m:r>
        <m:r>
          <m:t>i</m:t>
        </m:r>
        <m:r>
          <m:t>d</m:t>
        </m:r>
        <m:r>
          <m:t>e</m:t>
        </m:r>
        <m:r>
          <m:t>n</m:t>
        </m:r>
        <m:r>
          <m:t>t</m:t>
        </m:r>
        <m:r>
          <m:t>T</m:t>
        </m:r>
        <m:r>
          <m:t>a</m:t>
        </m:r>
        <m:r>
          <m:t>f</m:t>
        </m:r>
        <m:r>
          <m:t>f</m:t>
        </m:r>
        <m:r>
          <m:t>e</m:t>
        </m:r>
        <m:r>
          <m:rPr>
            <m:sty m:val="p"/>
          </m:rPr>
          <m:t>(</m:t>
        </m:r>
        <m:r>
          <m:t> </m:t>
        </m:r>
      </m:oMath>
      <w:r>
        <w:t xml:space="preserve">0.14M) in early July — routine, not a signal.</w:t>
      </w:r>
    </w:p>
    <w:p>
      <w:pPr>
        <w:pStyle w:val="FirstParagraph"/>
      </w:pPr>
      <w:r>
        <w:rPr>
          <w:b/>
          <w:bCs/>
        </w:rPr>
        <w:t xml:space="preserve">Implication:</w:t>
      </w:r>
      <w:r>
        <w:t xml:space="preserve"> </w:t>
      </w:r>
      <w:r>
        <w:t xml:space="preserve">Sentiment is described as "very bullish" on fundamentals, but positioning has clearly reset lower. That cuts both ways — a solid beat-and-raise into a washed-out stock could snap back hard, while any hint of data-center order softness or hyperscaler delay would land on a market already nervous about AI capex.</w:t>
      </w:r>
    </w:p>
    <w:p>
      <w:r>
        <w:pict>
          <v:rect style="width:0;height:1.5pt" o:hralign="center" o:hrstd="t" o:hr="t"/>
        </w:pict>
      </w:r>
    </w:p>
    <w:bookmarkEnd w:id="14"/>
    <w:bookmarkStart w:id="15" w:name="key-risks--what-could-go-wrong"/>
    <w:p>
      <w:pPr>
        <w:pStyle w:val="Heading2"/>
      </w:pPr>
      <w:r>
        <w:t xml:space="preserve">Key risks / what could go wrong</w:t>
      </w:r>
    </w:p>
    <w:p>
      <w:pPr>
        <w:pStyle w:val="Compact"/>
        <w:numPr>
          <w:ilvl w:val="0"/>
          <w:numId w:val="1005"/>
        </w:numPr>
      </w:pPr>
      <w:r>
        <w:rPr>
          <w:b/>
          <w:bCs/>
        </w:rPr>
        <w:t xml:space="preserve">Hyperscaler timing slips</w:t>
      </w:r>
      <w:r>
        <w:t xml:space="preserve"> </w:t>
      </w:r>
      <w:r>
        <w:t xml:space="preserve">— the NTP is still</w:t>
      </w:r>
      <w:r>
        <w:t xml:space="preserve"> </w:t>
      </w:r>
      <w:r>
        <w:rPr>
          <w:i/>
          <w:iCs/>
        </w:rPr>
        <w:t xml:space="preserve">nonbinding</w:t>
      </w:r>
      <w:r>
        <w:t xml:space="preserve">; a delay in signing would be read poorly.</w:t>
      </w:r>
    </w:p>
    <w:p>
      <w:pPr>
        <w:pStyle w:val="Compact"/>
        <w:numPr>
          <w:ilvl w:val="0"/>
          <w:numId w:val="1005"/>
        </w:numPr>
      </w:pPr>
      <w:r>
        <w:rPr>
          <w:b/>
          <w:bCs/>
        </w:rPr>
        <w:t xml:space="preserve">AI-capex sentiment</w:t>
      </w:r>
      <w:r>
        <w:t xml:space="preserve"> </w:t>
      </w:r>
      <w:r>
        <w:t xml:space="preserve">— even good numbers may be discounted if the broader "is the data-center boom peaking?" narrative dominates (the reason for the recent drawdown).</w:t>
      </w:r>
    </w:p>
    <w:p>
      <w:pPr>
        <w:pStyle w:val="Compact"/>
        <w:numPr>
          <w:ilvl w:val="0"/>
          <w:numId w:val="1005"/>
        </w:numPr>
      </w:pPr>
      <w:r>
        <w:rPr>
          <w:b/>
          <w:bCs/>
        </w:rPr>
        <w:t xml:space="preserve">Tariffs</w:t>
      </w:r>
      <w:r>
        <w:t xml:space="preserve"> </w:t>
      </w:r>
      <w:r>
        <w:t xml:space="preserve">— guidance assumes IEEPA savings are fully offset by new Section 122/232/301 tariffs; management called this "conservative," but the framework is fluid. Any tariff-recovery upside is</w:t>
      </w:r>
      <w:r>
        <w:t xml:space="preserve"> </w:t>
      </w:r>
      <w:r>
        <w:rPr>
          <w:i/>
          <w:iCs/>
        </w:rPr>
        <w:t xml:space="preserve">excluded</w:t>
      </w:r>
      <w:r>
        <w:t xml:space="preserve"> </w:t>
      </w:r>
      <w:r>
        <w:t xml:space="preserve">from guidance and could be a source of positive revision.</w:t>
      </w:r>
    </w:p>
    <w:p>
      <w:pPr>
        <w:pStyle w:val="Compact"/>
        <w:numPr>
          <w:ilvl w:val="0"/>
          <w:numId w:val="1005"/>
        </w:numPr>
      </w:pPr>
      <w:r>
        <w:rPr>
          <w:b/>
          <w:bCs/>
        </w:rPr>
        <w:t xml:space="preserve">Residential outage dependency</w:t>
      </w:r>
      <w:r>
        <w:t xml:space="preserve"> </w:t>
      </w:r>
      <w:r>
        <w:t xml:space="preserve">— H2 growth leans on a "normal baseline" outage assumption; a quiet weather season pressures the back half.</w:t>
      </w:r>
    </w:p>
    <w:p>
      <w:pPr>
        <w:pStyle w:val="Compact"/>
        <w:numPr>
          <w:ilvl w:val="0"/>
          <w:numId w:val="1005"/>
        </w:numPr>
      </w:pPr>
      <w:r>
        <w:rPr>
          <w:b/>
          <w:bCs/>
        </w:rPr>
        <w:t xml:space="preserve">Gross-margin mix</w:t>
      </w:r>
      <w:r>
        <w:t xml:space="preserve"> </w:t>
      </w:r>
      <w:r>
        <w:t xml:space="preserve">— rapid C&amp;I growth mixes margins down; watch whether Enercon accretion and price/cost offset it.</w:t>
      </w:r>
    </w:p>
    <w:p>
      <w:r>
        <w:pict>
          <v:rect style="width:0;height:1.5pt" o:hralign="center" o:hrstd="t" o:hr="t"/>
        </w:pict>
      </w:r>
    </w:p>
    <w:bookmarkEnd w:id="15"/>
    <w:bookmarkStart w:id="16" w:name="bottom-line"/>
    <w:p>
      <w:pPr>
        <w:pStyle w:val="Heading2"/>
      </w:pPr>
      <w:r>
        <w:t xml:space="preserve">Bottom line</w:t>
      </w:r>
    </w:p>
    <w:p>
      <w:pPr>
        <w:pStyle w:val="FirstParagraph"/>
      </w:pPr>
      <w:r>
        <w:t xml:space="preserve">Q2 should be a clean, modest beat-and-in-line quarter — the numbers are pre-guided and the story lives in H2.</w:t>
      </w:r>
      <w:r>
        <w:t xml:space="preserve"> </w:t>
      </w:r>
      <w:r>
        <w:rPr>
          <w:b/>
          <w:bCs/>
        </w:rPr>
        <w:t xml:space="preserve">The report matters less for the June-quarter print than for three things: (1) a fresh, higher data-center backlog and any binding hyperscale agreement; (2) whether management raises full-year guidance again; and (3) tone on the data-center capex environment amid the AI-spending scare.</w:t>
      </w:r>
      <w:r>
        <w:t xml:space="preserve"> </w:t>
      </w:r>
      <w:r>
        <w:t xml:space="preserve">With the stock having given back its entire 2026 data-center rally, the risk/reward hinges on management re-establishing confidence in the multi-year hyperscale ramp.</w:t>
      </w:r>
    </w:p>
    <w:p>
      <w:pPr>
        <w:pStyle w:val="BodyText"/>
      </w:pPr>
      <w:r>
        <w:rPr>
          <w:i/>
          <w:iCs/>
        </w:rPr>
        <w:t xml:space="preserve">Sources: GNRC Q1 2026 earnings call &amp; release (4/29/26), Q2 2025 earnings release (7/30/25), March 25 2026 Investor Day, daily news digests, and Finnhub price data.</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2026-07-29T00:54:49Z</dcterms:created>
  <dcterms:modified xsi:type="dcterms:W3CDTF">2026-07-29T00:54:49Z</dcterms:modified>
</cp:coreProperties>
</file>

<file path=docProps/custom.xml><?xml version="1.0" encoding="utf-8"?>
<Properties xmlns="http://schemas.openxmlformats.org/officeDocument/2006/custom-properties" xmlns:vt="http://schemas.openxmlformats.org/officeDocument/2006/docPropsVTypes"/>
</file>