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nrc-earnings-predictions--2026-07-29"/>
    <w:p>
      <w:pPr>
        <w:pStyle w:val="Heading1"/>
      </w:pPr>
      <w:r>
        <w:t xml:space="preserve">GNRC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~$1.20B (+13% y/y) vs. cons $1.178B (+11% y/y)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C&amp;I Segment Sales (data-center proxy)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~$520M (+43% y/y) vs. cons $500M (+38% y/y)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~$2.10 vs. cons $1.99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Sales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~18% vs. cons/prior guide ~16.5% midpoint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Margin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~19.7% vs. cons/prior guide ~19.0% midpoint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Net Sales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~13% vs. cons ~11%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Hyperscale NTP Conversion (binding status)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guide/commentary ~$600M converted to binding vs. cons $600M still nonbinding (as of Q2 2026 update)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+7.5%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+11.0% (FOLLOW-THROUGH)</w:t>
            </w:r>
          </w:p>
        </w:tc>
        <w:tc>
          <w:tcPr/>
          <w:p>
            <w:pPr>
              <w:pStyle w:val="Compact"/>
            </w:pPr>
            <w:r>
              <w:t xml:space="preserve">GNRC's three prior 2026 prints (Q4'25, Q1'26, and the Aug'25 Q2 report) all showed continued upward drift for 3-5 days after the initial ~17-20% earnings pop as analysts raised estimates/targets on beat-and-raise dynamics, rather than fading. With the stock down ~34% off June highs on macro AI-capex fear rather than company-specific deterioration, a confirmed beat plus reiterated/raised FY guide and any hyperscale NTP-to-binding progress should trigger a relief-rally that extends via estimate revisions over the week, unless hyperscale contracts remain stuck as nonbinding (the key downside risk that could instead cap or fade the move given still-fragile sector sentiment).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2026-07-29T00:58:57Z</dcterms:created>
  <dcterms:modified xsi:type="dcterms:W3CDTF">2026-07-29T00:58:57Z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