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X0427f51cadb6e60a71dabe6da38d7aca1f6d403"/>
    <w:p>
      <w:pPr>
        <w:pStyle w:val="Heading1"/>
      </w:pPr>
      <w:r>
        <w:t xml:space="preserve">Generac Holdings (GNRC) — Q2 2026 Earnings Preview</w:t>
      </w:r>
    </w:p>
    <w:p>
      <w:pPr>
        <w:pStyle w:val="FirstParagraph"/>
      </w:pPr>
      <w:r>
        <w:rPr>
          <w:b/>
          <w:bCs/>
        </w:rPr>
        <w:t xml:space="preserve">Reports:</w:t>
      </w:r>
      <w:r>
        <w:t xml:space="preserve"> </w:t>
      </w:r>
      <w:r>
        <w:t xml:space="preserve">Wednesday, July 29, 2026, before market open |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10:00 AM ET</w:t>
      </w:r>
    </w:p>
    <w:p>
      <w:r>
        <w:pict>
          <v:rect style="width:0;height:1.5pt" o:hralign="center" o:hrstd="t" o:hr="t"/>
        </w:pict>
      </w:r>
    </w:p>
    <w:bookmarkStart w:id="9" w:name="Xff2b2e429484d0f4bbfb578c4891932763a3c4e"/>
    <w:p>
      <w:pPr>
        <w:pStyle w:val="Heading2"/>
      </w:pPr>
      <w:r>
        <w:t xml:space="preserve">1. Setup: A Volatile Run-Up Now Fully Unwound</w:t>
      </w:r>
    </w:p>
    <w:p>
      <w:pPr>
        <w:pStyle w:val="FirstParagraph"/>
      </w:pPr>
      <w:r>
        <w:t xml:space="preserve">GNRC shares have been on a wild ride since the last print. The stock jumped from the high-</w:t>
      </w:r>
      <m:oMath>
        <m:r>
          <m:t>210</m:t>
        </m:r>
        <m:r>
          <m:t>s</m:t>
        </m:r>
        <m:r>
          <m:t>t</m:t>
        </m:r>
        <m:r>
          <m:t>o</m:t>
        </m:r>
        <m:r>
          <m:t>a</m:t>
        </m:r>
        <m:r>
          <m:t>s</m:t>
        </m:r>
        <m:r>
          <m:t>h</m:t>
        </m:r>
        <m:r>
          <m:t>i</m:t>
        </m:r>
        <m:r>
          <m:t>g</m:t>
        </m:r>
        <m:r>
          <m:t>h</m:t>
        </m:r>
        <m:r>
          <m:t>a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295** (June 22 high) following a blowout Q1 report and raised guidance, only to give back the entire move and then some — closing at</w:t>
      </w:r>
      <w:r>
        <w:t xml:space="preserve"> </w:t>
      </w:r>
      <w:r>
        <w:rPr>
          <w:b/>
          <w:bCs/>
        </w:rPr>
        <w:t xml:space="preserve">$195.63</w:t>
      </w:r>
      <w:r>
        <w:t xml:space="preserve"> </w:t>
      </w:r>
      <w:r>
        <w:t xml:space="preserve">on July 28, down roughly 34% from the late-June peak and now sitting</w:t>
      </w:r>
      <w:r>
        <w:t xml:space="preserve"> </w:t>
      </w:r>
      <w:r>
        <w:rPr>
          <w:i/>
          <w:iCs/>
        </w:rPr>
        <w:t xml:space="preserve">below</w:t>
      </w:r>
      <w:r>
        <w:t xml:space="preserve"> </w:t>
      </w:r>
      <w:r>
        <w:t xml:space="preserve">where it traded right before Q1 earnings. The pullback tracks a broader de-rating in AI/data-center-capex-linked names (chip stocks, memory names like SK Hynix, and concerns about the pace/financing of hyperscaler buildouts), suggesting the market has grown more skeptical about the durability of the data-center backlog story that has been the core bull thesis on Generac this year. That makes tomorrow's print an important sentiment check as much as a fundamental one — investors will be looking for confirmation that the C&amp;I/data-center growth trajectory is intact, not just met.</w:t>
      </w:r>
    </w:p>
    <w:bookmarkEnd w:id="9"/>
    <w:bookmarkStart w:id="10" w:name="Xf0e7c244795945b1de1c235d5a19ec7429f7c1b"/>
    <w:p>
      <w:pPr>
        <w:pStyle w:val="Heading2"/>
      </w:pPr>
      <w:r>
        <w:t xml:space="preserve">2. Consensus Expectations</w:t>
      </w:r>
    </w:p>
    <w:p>
      <w:pPr>
        <w:pStyle w:val="FirstParagraph"/>
      </w:pPr>
      <w:r>
        <w:t xml:space="preserve">Per the Street setup: total sales growth of</w:t>
      </w:r>
      <w:r>
        <w:t xml:space="preserve"> </w:t>
      </w:r>
      <w:r>
        <w:rPr>
          <w:b/>
          <w:bCs/>
        </w:rPr>
        <w:t xml:space="preserve">11% to $1.178 billion</w:t>
      </w:r>
      <w:r>
        <w:t xml:space="preserve">, with</w:t>
      </w:r>
      <w:r>
        <w:t xml:space="preserve"> </w:t>
      </w:r>
      <w:r>
        <w:rPr>
          <w:b/>
          <w:bCs/>
        </w:rPr>
        <w:t xml:space="preserve">Commercial &amp; Industrial sales growth of 38% to $500 million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Residential sales growth of 8.5% to $623 million</w:t>
      </w:r>
      <w:r>
        <w:t xml:space="preserve">, gross margins of</w:t>
      </w:r>
      <w:r>
        <w:t xml:space="preserve"> </w:t>
      </w:r>
      <w:r>
        <w:rPr>
          <w:b/>
          <w:bCs/>
        </w:rPr>
        <w:t xml:space="preserve">38.6%</w:t>
      </w:r>
      <w:r>
        <w:t xml:space="preserve">, and</w:t>
      </w:r>
      <w:r>
        <w:t xml:space="preserve"> </w:t>
      </w:r>
      <w:r>
        <w:rPr>
          <w:b/>
          <w:bCs/>
        </w:rPr>
        <w:t xml:space="preserve">EPS of $1.99</w:t>
      </w:r>
      <w:r>
        <w:t xml:space="preserve">.</w:t>
      </w:r>
    </w:p>
    <w:p>
      <w:pPr>
        <w:pStyle w:val="BodyText"/>
      </w:pPr>
      <w:r>
        <w:t xml:space="preserve">Notably, consensus revenue growth (11%) is running slightly ahead of management's own Q2 guidance given on the Q1 call, where CFO York Ragen guided to</w:t>
      </w:r>
      <w:r>
        <w:t xml:space="preserve"> </w:t>
      </w:r>
      <w:r>
        <w:rPr>
          <w:b/>
          <w:bCs/>
        </w:rPr>
        <w:t xml:space="preserve">"second quarter consolidated net sales growth in the approximate 9% to 10% range, driven entirely by the C&amp;I segment"</w:t>
      </w:r>
      <w:r>
        <w:t xml:space="preserve"> </w:t>
      </w:r>
      <w:r>
        <w:t xml:space="preserve">and adjusted EBITDA margins</w:t>
      </w:r>
      <w:r>
        <w:t xml:space="preserve"> </w:t>
      </w:r>
      <w:r>
        <w:rPr>
          <w:b/>
          <w:bCs/>
        </w:rPr>
        <w:t xml:space="preserve">"in the 18% range"</w:t>
      </w:r>
      <w:r>
        <w:t xml:space="preserve"> </w:t>
      </w:r>
      <w:r>
        <w:t xml:space="preserve">for Q2, improving sequentially into the back half toward ~20% by Q4. A beat relative to the softer internal guide (as happened in Q1) would likely be well received; an in-line-to-light print against the more bullish sell-side numbers could pressure the stock further given how much of the "beat and raise" narrative is already embedded in estimates.</w:t>
      </w:r>
    </w:p>
    <w:bookmarkEnd w:id="10"/>
    <w:bookmarkStart w:id="11" w:name="X2ba5407df411f4c919e2458a73b48becac5f060"/>
    <w:p>
      <w:pPr>
        <w:pStyle w:val="Heading2"/>
      </w:pPr>
      <w:r>
        <w:t xml:space="preserve">3. What to Watch: The C&amp;I / Data Center Story</w:t>
      </w:r>
    </w:p>
    <w:p>
      <w:pPr>
        <w:pStyle w:val="FirstParagraph"/>
      </w:pPr>
      <w:r>
        <w:t xml:space="preserve">This remains the single biggest swing factor for the stock: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Hyperscale progress:</w:t>
      </w:r>
      <w:r>
        <w:t xml:space="preserve"> </w:t>
      </w:r>
      <w:r>
        <w:t xml:space="preserve">As of the Q1 call, management described being in the final stages with</w:t>
      </w:r>
      <w:r>
        <w:t xml:space="preserve"> </w:t>
      </w:r>
      <w:r>
        <w:rPr>
          <w:b/>
          <w:bCs/>
        </w:rPr>
        <w:t xml:space="preserve">two hyperscale data center customers</w:t>
      </w:r>
      <w:r>
        <w:t xml:space="preserve">, having received a</w:t>
      </w:r>
      <w:r>
        <w:t xml:space="preserve"> </w:t>
      </w:r>
      <w:r>
        <w:rPr>
          <w:b/>
          <w:bCs/>
        </w:rPr>
        <w:t xml:space="preserve">nonbinding notice to proceed for ~$600 million in 2027 deliveries</w:t>
      </w:r>
      <w:r>
        <w:t xml:space="preserve"> </w:t>
      </w:r>
      <w:r>
        <w:t xml:space="preserve">from one customer, with the second "close behind." CEO Aaron Jagdfeld used a vivid analogy:</w:t>
      </w:r>
      <w:r>
        <w:t xml:space="preserve"> </w:t>
      </w:r>
      <w:r>
        <w:rPr>
          <w:i/>
          <w:iCs/>
        </w:rPr>
        <w:t xml:space="preserve">"if this was a 100-yard dash, we're like 99 yards of the way done with the race."</w:t>
      </w:r>
      <w:r>
        <w:t xml:space="preserve"> </w:t>
      </w:r>
      <w:r>
        <w:t xml:space="preserve">Investors will want an update on whether either agreement has converted from nonbinding to binding, and any incremental color on order size/timing.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Backlog growth:</w:t>
      </w:r>
      <w:r>
        <w:t xml:space="preserve"> </w:t>
      </w:r>
      <w:r>
        <w:t xml:space="preserve">C&amp;I backlog stood at</w:t>
      </w:r>
      <w:r>
        <w:t xml:space="preserve"> </w:t>
      </w:r>
      <w:r>
        <w:rPr>
          <w:b/>
          <w:bCs/>
        </w:rPr>
        <w:t xml:space="preserve">more than $700 million</w:t>
      </w:r>
      <w:r>
        <w:t xml:space="preserve"> </w:t>
      </w:r>
      <w:r>
        <w:t xml:space="preserve">as of Q1, up roughly $300 million from the Q4 update — a figure that</w:t>
      </w:r>
      <w:r>
        <w:t xml:space="preserve"> </w:t>
      </w:r>
      <w:r>
        <w:rPr>
          <w:i/>
          <w:iCs/>
        </w:rPr>
        <w:t xml:space="preserve">excludes</w:t>
      </w:r>
      <w:r>
        <w:t xml:space="preserve"> </w:t>
      </w:r>
      <w:r>
        <w:t xml:space="preserve">the $600M NTP opportunity. Watch for a fresh backlog figure and whether momentum continued into Q2.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Capacity build-out:</w:t>
      </w:r>
      <w:r>
        <w:t xml:space="preserve"> </w:t>
      </w:r>
      <w:r>
        <w:t xml:space="preserve">The new Sussex, WI facility is on track to begin production in the second half of 2026, part of a plan to expand domestic large-generator manufacturing capacity to</w:t>
      </w:r>
      <w:r>
        <w:t xml:space="preserve"> </w:t>
      </w:r>
      <w:r>
        <w:rPr>
          <w:b/>
          <w:bCs/>
        </w:rPr>
        <w:t xml:space="preserve">over $1 billion by Q4 2026</w:t>
      </w:r>
      <w:r>
        <w:t xml:space="preserve">. Management has also flagged that further hyperscale wins would require additional capacity beyond current plans ("we're going to need a bigger boat"), potentially via more M&amp;A — any update here (site selection, new deals) would be notable.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Enercon integration:</w:t>
      </w:r>
      <w:r>
        <w:t xml:space="preserve"> </w:t>
      </w:r>
      <w:r>
        <w:t xml:space="preserve">The Enercon acquisition (enclosures/switchgear, closed April 1) is expected to add roughly</w:t>
      </w:r>
      <w:r>
        <w:t xml:space="preserve"> </w:t>
      </w:r>
      <w:r>
        <w:rPr>
          <w:b/>
          <w:bCs/>
        </w:rPr>
        <w:t xml:space="preserve">50 basis points to C&amp;I margins</w:t>
      </w:r>
      <w:r>
        <w:t xml:space="preserve"> </w:t>
      </w:r>
      <w:r>
        <w:t xml:space="preserve">via vertical integration and is central to management's confidence in "solving" the industry's packaging bottleneck. Look for early integration commentary and whether the margin-accretion timeline is tracking.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Non-data-center C&amp;I:</w:t>
      </w:r>
      <w:r>
        <w:t xml:space="preserve"> </w:t>
      </w:r>
      <w:r>
        <w:t xml:space="preserve">Telecom order rates improved sequentially in Q1 with management citing a multiyear 5G/network-hardening upcycle, and the mobile/rental business (boosted by the Allmand acquisition) has been outperforming as a rental refleeting cycle takes hold. These are smaller but real contributors to the raised full-year C&amp;I guide (now</w:t>
      </w:r>
      <w:r>
        <w:t xml:space="preserve"> </w:t>
      </w:r>
      <w:r>
        <w:rPr>
          <w:b/>
          <w:bCs/>
        </w:rPr>
        <w:t xml:space="preserve">mid-to-high 20s% growth</w:t>
      </w:r>
      <w:r>
        <w:t xml:space="preserve"> </w:t>
      </w:r>
      <w:r>
        <w:t xml:space="preserve">for the segment, up from low-to-mid 20s%).</w:t>
      </w:r>
    </w:p>
    <w:bookmarkEnd w:id="11"/>
    <w:bookmarkStart w:id="12" w:name="X70a56d3f5ae5875dd740d16896ea3446636975b"/>
    <w:p>
      <w:pPr>
        <w:pStyle w:val="Heading2"/>
      </w:pPr>
      <w:r>
        <w:t xml:space="preserve">4. Residential: Waiting on the Second-Half Inflection</w:t>
      </w:r>
    </w:p>
    <w:p>
      <w:pPr>
        <w:pStyle w:val="FirstParagraph"/>
      </w:pPr>
      <w:r>
        <w:t xml:space="preserve">Residential has been the quieter, higher-margin surprise this year. Q1 saw</w:t>
      </w:r>
      <w:r>
        <w:t xml:space="preserve"> </w:t>
      </w:r>
      <w:r>
        <w:rPr>
          <w:b/>
          <w:bCs/>
        </w:rPr>
        <w:t xml:space="preserve">~500 basis points of EBITDA margin expansion</w:t>
      </w:r>
      <w:r>
        <w:t xml:space="preserve"> </w:t>
      </w:r>
      <w:r>
        <w:t xml:space="preserve">driven largely by the "Generac Home" reorganization (unifying home standby, portable, and energy-tech teams) cutting operating expenses, plus favorable price/cost. Home standby sales were roughly flat in Q1 against a tough prior-year comp tied to 2024 hurricane activity.</w:t>
      </w:r>
    </w:p>
    <w:p>
      <w:pPr>
        <w:pStyle w:val="BodyText"/>
      </w:pPr>
      <w:r>
        <w:t xml:space="preserve">Management's full-year Residential guide (~10% growth) depends heavily on a</w:t>
      </w:r>
      <w:r>
        <w:t xml:space="preserve"> </w:t>
      </w:r>
      <w:r>
        <w:rPr>
          <w:b/>
          <w:bCs/>
        </w:rPr>
        <w:t xml:space="preserve">second-half acceleration</w:t>
      </w:r>
      <w:r>
        <w:t xml:space="preserve">, built on:</w:t>
      </w:r>
    </w:p>
    <w:p>
      <w:pPr>
        <w:pStyle w:val="Compact"/>
        <w:numPr>
          <w:ilvl w:val="0"/>
          <w:numId w:val="1002"/>
        </w:numPr>
      </w:pPr>
      <w:r>
        <w:t xml:space="preserve">Easy year-over-year comps, since the second half of 2025 saw an unusually quiet power-outage environment.</w:t>
      </w:r>
    </w:p>
    <w:p>
      <w:pPr>
        <w:pStyle w:val="Compact"/>
        <w:numPr>
          <w:ilvl w:val="0"/>
          <w:numId w:val="1002"/>
        </w:numPr>
      </w:pPr>
      <w:r>
        <w:t xml:space="preserve">An assumption of a</w:t>
      </w:r>
      <w:r>
        <w:t xml:space="preserve"> </w:t>
      </w:r>
      <w:r>
        <w:rPr>
          <w:b/>
          <w:bCs/>
        </w:rPr>
        <w:t xml:space="preserve">return to "baseline average" outage activity</w:t>
      </w:r>
      <w:r>
        <w:t xml:space="preserve"> </w:t>
      </w:r>
      <w:r>
        <w:t xml:space="preserve">— importantly, guidance does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assume any major storm event, so any deviation (better or worse) is a swing factor.</w:t>
      </w:r>
    </w:p>
    <w:p>
      <w:pPr>
        <w:pStyle w:val="Compact"/>
        <w:numPr>
          <w:ilvl w:val="0"/>
          <w:numId w:val="1002"/>
        </w:numPr>
      </w:pPr>
      <w:r>
        <w:t xml:space="preserve">Roughly half of the expected home standby growth is</w:t>
      </w:r>
      <w:r>
        <w:t xml:space="preserve"> </w:t>
      </w:r>
      <w:r>
        <w:rPr>
          <w:b/>
          <w:bCs/>
        </w:rPr>
        <w:t xml:space="preserve">price</w:t>
      </w:r>
      <w:r>
        <w:t xml:space="preserve">-driven from the next-gen product launch, not volume.</w:t>
      </w:r>
    </w:p>
    <w:p>
      <w:pPr>
        <w:pStyle w:val="Compact"/>
        <w:numPr>
          <w:ilvl w:val="0"/>
          <w:numId w:val="1002"/>
        </w:numPr>
      </w:pPr>
      <w:r>
        <w:t xml:space="preserve">Ramp of PWRmicro (Generac's first branded microinverter) and continued ecobee growth — ecobee posted its</w:t>
      </w:r>
      <w:r>
        <w:t xml:space="preserve"> </w:t>
      </w:r>
      <w:r>
        <w:rPr>
          <w:b/>
          <w:bCs/>
        </w:rPr>
        <w:t xml:space="preserve">first positive adjusted EBITDA quarter</w:t>
      </w:r>
      <w:r>
        <w:t xml:space="preserve"> </w:t>
      </w:r>
      <w:r>
        <w:t xml:space="preserve">in Q1 with connected-home count above 5 million.</w:t>
      </w:r>
    </w:p>
    <w:p>
      <w:pPr>
        <w:pStyle w:val="FirstParagraph"/>
      </w:pPr>
      <w:r>
        <w:t xml:space="preserve">Investors should watch whether outage-driven demand and dealer network growth (&gt;9,500 dealers) are tracking to plan, and whether the OpEx efficiency gains from the Generac Home unification are proving durable rather than a one-quarter phenomenon.</w:t>
      </w:r>
    </w:p>
    <w:bookmarkEnd w:id="12"/>
    <w:bookmarkStart w:id="13" w:name="X02ec529a143f6d82cf36217c9e6c07c69678c7d"/>
    <w:p>
      <w:pPr>
        <w:pStyle w:val="Heading2"/>
      </w:pPr>
      <w:r>
        <w:t xml:space="preserve">5. Margins, Guidance Cadence, and Balance Sheet</w:t>
      </w:r>
    </w:p>
    <w:p>
      <w:pPr>
        <w:pStyle w:val="FirstParagraph"/>
      </w:pPr>
      <w:r>
        <w:t xml:space="preserve">At Q1, Generac raised full-year guidance across the board: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Net sales growth:</w:t>
      </w:r>
      <w:r>
        <w:t xml:space="preserve"> </w:t>
      </w:r>
      <w:r>
        <w:t xml:space="preserve">mid-to-high teens (from mid-teens)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Gross margin:</w:t>
      </w:r>
      <w:r>
        <w:t xml:space="preserve"> </w:t>
      </w:r>
      <w:r>
        <w:t xml:space="preserve">38.5%–39.5% (from a ~50bps-lower prior range)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Adjusted EBITDA margin:</w:t>
      </w:r>
      <w:r>
        <w:t xml:space="preserve"> </w:t>
      </w:r>
      <w:r>
        <w:t xml:space="preserve">18.5%–19.5% (from 18.0%–19.0%)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Free cash flow:</w:t>
      </w:r>
      <w:r>
        <w:t xml:space="preserve"> </w:t>
      </w:r>
      <w:r>
        <w:t xml:space="preserve">~$350 million for the year, weighted to the second half</w:t>
      </w:r>
    </w:p>
    <w:p>
      <w:pPr>
        <w:pStyle w:val="Compact"/>
        <w:numPr>
          <w:ilvl w:val="0"/>
          <w:numId w:val="1003"/>
        </w:numPr>
      </w:pPr>
      <w:r>
        <w:t xml:space="preserve">Leverage was</w:t>
      </w:r>
      <w:r>
        <w:t xml:space="preserve"> </w:t>
      </w:r>
      <w:r>
        <w:rPr>
          <w:b/>
          <w:bCs/>
        </w:rPr>
        <w:t xml:space="preserve">1.7x gross debt/adjusted EBITDA</w:t>
      </w:r>
      <w:r>
        <w:t xml:space="preserve"> </w:t>
      </w:r>
      <w:r>
        <w:t xml:space="preserve">at Q1-end, within the company's 1–2x target range, after funding the Allmand (</w:t>
      </w:r>
      <m:oMath>
        <m:r>
          <m:t>123</m:t>
        </m:r>
        <m:r>
          <m:t>M</m:t>
        </m:r>
        <m:r>
          <m:rPr>
            <m:sty m:val="p"/>
          </m:rPr>
          <m:t>)</m:t>
        </m:r>
        <m:r>
          <m:t>a</m:t>
        </m:r>
        <m:r>
          <m:t>n</m:t>
        </m:r>
        <m:r>
          <m:t>d</m:t>
        </m:r>
        <m:r>
          <m:t>E</m:t>
        </m:r>
        <m:r>
          <m:t>n</m:t>
        </m:r>
        <m:r>
          <m:t>e</m:t>
        </m:r>
        <m:r>
          <m:t>r</m:t>
        </m:r>
        <m:r>
          <m:t>c</m:t>
        </m:r>
        <m:r>
          <m:t>o</m:t>
        </m:r>
        <m:r>
          <m:t>n</m:t>
        </m:r>
        <m:r>
          <m:rPr>
            <m:sty m:val="p"/>
          </m:rPr>
          <m:t>(</m:t>
        </m:r>
      </m:oMath>
      <w:r>
        <w:t xml:space="preserve">122M) deals largely in cash and stock.</w:t>
      </w:r>
    </w:p>
    <w:p>
      <w:pPr>
        <w:pStyle w:val="FirstParagraph"/>
      </w:pPr>
      <w:r>
        <w:t xml:space="preserve">Tariffs remain a wildcard: guidance assumes any relief from the Supreme Court's IEEPA ruling gets offset by incremental Section 122/232/301 tariffs — a conservative, "net-neutral" assumption that could prove either a tailwind or headwind depending on how trade policy evolves through the back half.</w:t>
      </w:r>
    </w:p>
    <w:bookmarkEnd w:id="13"/>
    <w:bookmarkStart w:id="14" w:name="X14cdb246e99ba9c753b6d8f0626b13207898c03"/>
    <w:p>
      <w:pPr>
        <w:pStyle w:val="Heading2"/>
      </w:pPr>
      <w:r>
        <w:t xml:space="preserve">6. Key Debates Heading Into the Print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Can data-center momentum be validated with harder commitments?</w:t>
      </w:r>
      <w:r>
        <w:t xml:space="preserve"> </w:t>
      </w:r>
      <w:r>
        <w:t xml:space="preserve">The bull case rests heavily on backlog and a</w:t>
      </w:r>
      <w:r>
        <w:t xml:space="preserve"> </w:t>
      </w:r>
      <w:r>
        <w:rPr>
          <w:i/>
          <w:iCs/>
        </w:rPr>
        <w:t xml:space="preserve">nonbinding</w:t>
      </w:r>
      <w:r>
        <w:t xml:space="preserve"> </w:t>
      </w:r>
      <w:r>
        <w:t xml:space="preserve">$600M notice to proceed. Conversion to binding orders, plus any read on the second hyperscale customer, is the single most important data point.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Is the Residential margin improvement sustainable or a one-off?</w:t>
      </w:r>
      <w:r>
        <w:t xml:space="preserve"> </w:t>
      </w:r>
      <w:r>
        <w:t xml:space="preserve">The ~500bp EBITDA margin lift in Q1 was unusually large for a seasonally low quarter; the market will want proof this holds as marketing/OpEx normally ramps seasonally.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Valuation reset vs. fundamentals:</w:t>
      </w:r>
      <w:r>
        <w:t xml:space="preserve"> </w:t>
      </w:r>
      <w:r>
        <w:t xml:space="preserve">With the stock down over a third from its June highs, the question is whether the sell-off reflects a genuine re-rating of AI-capex risk or an overreaction disconnected from Generac's own execution, which by Q1 results and guidance raises had been tracking ahead of plan.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Capacity constraints:</w:t>
      </w:r>
      <w:r>
        <w:t xml:space="preserve"> </w:t>
      </w:r>
      <w:r>
        <w:t xml:space="preserve">Management has been explicit that winning both major hyperscale accounts would require capacity beyond current plans, potentially via more M&amp;A — any hints of near-term deal-making or capex increases matter for the margin and leverage trajectory.</w:t>
      </w:r>
    </w:p>
    <w:bookmarkEnd w:id="14"/>
    <w:bookmarkStart w:id="15" w:name="X7a3bbf556adfc11a6000f5b234b318bdc6ae48e"/>
    <w:p>
      <w:pPr>
        <w:pStyle w:val="Heading2"/>
      </w:pPr>
      <w:r>
        <w:t xml:space="preserve">7. Bottom Line</w:t>
      </w:r>
    </w:p>
    <w:p>
      <w:pPr>
        <w:pStyle w:val="FirstParagraph"/>
      </w:pPr>
      <w:r>
        <w:t xml:space="preserve">Generac heads into Q2 with genuinely strong underlying momentum — a rapidly scaling, higher-margin C&amp;I/data-center business, an improving Residential margin story, and a raised full-year outlook — but a stock price that has round-tripped its entire 2026 rally amid a broader cooling in sentiment toward data-center-capex-exposed names. The bar for the print itself may be more measured than headline consensus growth (11%) implies, given management's own guide of 9-10% sequential top-line growth for the quarter. The more important storylines for the stock's next move will likely be</w:t>
      </w:r>
      <w:r>
        <w:t xml:space="preserve"> </w:t>
      </w:r>
      <w:r>
        <w:rPr>
          <w:b/>
          <w:bCs/>
        </w:rPr>
        <w:t xml:space="preserve">qualitative</w:t>
      </w:r>
      <w:r>
        <w:t xml:space="preserve">: hyperscale contract progress, backlog trajectory, and confidence in the second-half Residential acceleration, rather than the Q2 numbers in isolation.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2026-07-29T00:58:57Z</dcterms:created>
  <dcterms:modified xsi:type="dcterms:W3CDTF">2026-07-29T00:58:57Z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