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nrc-earnings-predictions--2026-07-29"/>
    <w:p>
      <w:pPr>
        <w:pStyle w:val="Heading1"/>
      </w:pPr>
      <w:r>
        <w:t xml:space="preserve">GNRC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~$1.192B vs. cons $1.178B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~$2.07 vs. cons $1.99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~18.4% vs. cons 18.0%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~17.5% vs. cons 17.0%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~19.25% vs. cons 19.0%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~$350M vs. cons $350M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Visible data-center backlog and commitments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~$1.45B vs. cons $1.30B (2027 deliveries)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Approved hyperscale customers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 customer vs. cons 1 customer (as of the 2026Q2 call)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+9.0% (FOLLOW-THROUGH)</w:t>
            </w:r>
          </w:p>
        </w:tc>
        <w:tc>
          <w:tcPr/>
          <w:p>
            <w:pPr>
              <w:pStyle w:val="Compact"/>
            </w:pPr>
            <w:r>
              <w:t xml:space="preserve">FY2026 revenue and EBITDA estimates should rise after the projected beat-and-raise, while ~</w:t>
            </w:r>
            <m:oMath>
              <m:r>
                <m:t>1.45</m:t>
              </m:r>
              <m:r>
                <m:t>B</m:t>
              </m:r>
              <m:r>
                <m:t>o</m:t>
              </m:r>
              <m:r>
                <m:t>f</m:t>
              </m:r>
              <m:r>
                <m:t>2027</m:t>
              </m:r>
              <m:r>
                <m:t>d</m:t>
              </m:r>
              <m:r>
                <m:t>a</m:t>
              </m:r>
              <m:r>
                <m:t>t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c</m:t>
              </m:r>
              <m:r>
                <m:t>e</m:t>
              </m:r>
              <m:r>
                <m:t>n</m:t>
              </m:r>
              <m:r>
                <m:t>t</m:t>
              </m:r>
              <m:r>
                <m:t>e</m:t>
              </m:r>
              <m:r>
                <m:t>r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b</m:t>
              </m:r>
              <m:r>
                <m:t>i</m:t>
              </m:r>
              <m:r>
                <m:t>l</m:t>
              </m:r>
              <m:r>
                <m:t>i</m:t>
              </m:r>
              <m:r>
                <m:t>t</m:t>
              </m:r>
              <m:r>
                <m:t>y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1.30B expected supports additional out-period revisions rather than an implicit cut-driven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2026-07-29T00:55:29Z</dcterms:created>
  <dcterms:modified xsi:type="dcterms:W3CDTF">2026-07-29T00:55:29Z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