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generac-gnrc-2026-q2-earnings-preview"/>
    <w:p>
      <w:pPr>
        <w:pStyle w:val="Heading1"/>
      </w:pPr>
      <w:r>
        <w:t xml:space="preserve">Generac (GNRC) 2026 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GNRC is scheduled to report</w:t>
      </w:r>
      <w:r>
        <w:t xml:space="preserve"> </w:t>
      </w:r>
      <w:r>
        <w:rPr>
          <w:b/>
          <w:bCs/>
        </w:rPr>
        <w:t xml:space="preserve">before the U.S. market opens on Wednesday, July 29, 2026</w:t>
      </w:r>
      <w:r>
        <w:t xml:space="preserve">, with the earnings call later that day. That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tomorrow, based on the stated July 29 event date and the latest market calendar.</w:t>
      </w:r>
    </w:p>
    <w:bookmarkStart w:id="9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Generac enters Q2 with two very different businesses: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Commercial &amp; Industrial is accelerating</w:t>
      </w:r>
      <w:r>
        <w:t xml:space="preserve">, led by data-center backup power, improving telecom demand, rental-equipment refleeting, and the Allmand and Enercon acquisitions.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Residential remains more dependent on execution and weather</w:t>
      </w:r>
      <w:r>
        <w:t xml:space="preserve">, although pricing, expense reductions, and an easier second-half comparison should support earnings.</w:t>
      </w:r>
    </w:p>
    <w:p>
      <w:pPr>
        <w:pStyle w:val="FirstParagraph"/>
      </w:pPr>
      <w:r>
        <w:t xml:space="preserve">The quarter itself matters, but the stock’s larger debate is whether Generac can convert its early data-center success into a durable, multiyear hyperscale franchise. Consequently, the most important updates will probably be:</w:t>
      </w:r>
    </w:p>
    <w:p>
      <w:pPr>
        <w:pStyle w:val="Compact"/>
        <w:numPr>
          <w:ilvl w:val="0"/>
          <w:numId w:val="1002"/>
        </w:numPr>
      </w:pPr>
      <w:r>
        <w:t xml:space="preserve">Progress toward formal approval by two hyperscale customers.</w:t>
      </w:r>
    </w:p>
    <w:p>
      <w:pPr>
        <w:pStyle w:val="Compact"/>
        <w:numPr>
          <w:ilvl w:val="0"/>
          <w:numId w:val="1002"/>
        </w:numPr>
      </w:pPr>
      <w:r>
        <w:t xml:space="preserve">Backlog growth and the conversion schedule into 2027.</w:t>
      </w:r>
    </w:p>
    <w:p>
      <w:pPr>
        <w:pStyle w:val="Compact"/>
        <w:numPr>
          <w:ilvl w:val="0"/>
          <w:numId w:val="1002"/>
        </w:numPr>
      </w:pPr>
      <w:r>
        <w:t xml:space="preserve">Whether the new Sussex facility is ramping on time.</w:t>
      </w:r>
    </w:p>
    <w:p>
      <w:pPr>
        <w:pStyle w:val="Compact"/>
        <w:numPr>
          <w:ilvl w:val="0"/>
          <w:numId w:val="1002"/>
        </w:numPr>
      </w:pPr>
      <w:r>
        <w:t xml:space="preserve">The contribution and integration of Enercon.</w:t>
      </w:r>
    </w:p>
    <w:p>
      <w:pPr>
        <w:pStyle w:val="Compact"/>
        <w:numPr>
          <w:ilvl w:val="0"/>
          <w:numId w:val="1002"/>
        </w:numPr>
      </w:pPr>
      <w:r>
        <w:t xml:space="preserve">Any change to full-year sales, margin, and free-cash-flow guidance.</w:t>
      </w:r>
    </w:p>
    <w:p>
      <w:pPr>
        <w:pStyle w:val="FirstParagraph"/>
      </w:pPr>
      <w:r>
        <w:t xml:space="preserve">A routine beat without additional data-center de-risking may not be enough. Conversely, a firm hyperscale supply agreement, another large volume commitment, or a material backlog increase could matter much more than a few cents of Q2 EPS.</w:t>
      </w:r>
    </w:p>
    <w:p>
      <w:r>
        <w:pict>
          <v:rect style="width:0;height:1.5pt" o:hralign="center" o:hrstd="t" o:hr="t"/>
        </w:pict>
      </w:r>
    </w:p>
    <w:bookmarkEnd w:id="9"/>
    <w:bookmarkStart w:id="10" w:name="X1016f160ebeb0e836658cd067261be5ad672d42"/>
    <w:p>
      <w:pPr>
        <w:pStyle w:val="Heading2"/>
      </w:pPr>
      <w:r>
        <w:t xml:space="preserve">Q2 expectations and management benchmarks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Expectation /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$1.178 billion</w:t>
            </w:r>
            <w:r>
              <w:t xml:space="preserve">, approximately</w:t>
            </w:r>
            <w:r>
              <w:t xml:space="preserve"> </w:t>
            </w:r>
            <w:r>
              <w:rPr>
                <w:b/>
                <w:bCs/>
              </w:rPr>
              <w:t xml:space="preserve">+11%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$1.99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38.6%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Management’s prior Q2 sales-growth indication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9%–10%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Management’s prior Q2 adjusted EBITDA-margin indication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18%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sales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Mid- to high-teens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adjusted EBITDA-margin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18.5%–19.5%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free-cash-flow guidance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Approximately $350 million</w:t>
            </w:r>
          </w:p>
        </w:tc>
      </w:tr>
    </w:tbl>
    <w:p>
      <w:pPr>
        <w:pStyle w:val="BodyText"/>
      </w:pPr>
      <w:r>
        <w:t xml:space="preserve">One market digest also points to roughly</w:t>
      </w:r>
      <w:r>
        <w:t xml:space="preserve"> </w:t>
      </w:r>
      <w:r>
        <w:rPr>
          <w:b/>
          <w:bCs/>
        </w:rPr>
        <w:t xml:space="preserve">38% C&amp;I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8.5% Residential growth</w:t>
      </w:r>
      <w:r>
        <w:t xml:space="preserve">, although its segment-dollar estimates do not reconcile cleanly with the total-sales estimate and appear more optimistic for Residential than management’s Q1 pacing commentary. I would therefore treat the</w:t>
      </w:r>
      <w:r>
        <w:t xml:space="preserve"> </w:t>
      </w:r>
      <w:r>
        <w:rPr>
          <w:b/>
          <w:bCs/>
        </w:rPr>
        <w:t xml:space="preserve">$1.178 billion revenue and $1.99 EPS figures as the cleaner consensus references</w:t>
      </w:r>
      <w:r>
        <w:t xml:space="preserve">, with the segment estimates viewed as directional.</w:t>
      </w:r>
    </w:p>
    <w:p>
      <w:pPr>
        <w:pStyle w:val="BodyText"/>
      </w:pPr>
      <w:r>
        <w:t xml:space="preserve">The revenue bar is not trivial. Q1 revenue was $1.059 billion, and management said the first half should represent approximately 45% of annual sales. A $1.178 billion Q2 would put first-half revenue near $2.24 billion, implying a full-year run rate close to $5 billion—toward the upper end of what “mid- to high-teens” growth suggests from 2025’s approximately $4.2 billion base.</w:t>
      </w:r>
    </w:p>
    <w:p>
      <w:r>
        <w:pict>
          <v:rect style="width:0;height:1.5pt" o:hralign="center" o:hrstd="t" o:hr="t"/>
        </w:pict>
      </w:r>
    </w:p>
    <w:bookmarkEnd w:id="10"/>
    <w:bookmarkStart w:id="14" w:name="what-matters-most"/>
    <w:p>
      <w:pPr>
        <w:pStyle w:val="Heading2"/>
      </w:pPr>
      <w:r>
        <w:t xml:space="preserve">What matters most</w:t>
      </w:r>
    </w:p>
    <w:bookmarkStart w:id="11" w:name="X120c59ff3b668247c891fb0ff7f910cab523f6b"/>
    <w:p>
      <w:pPr>
        <w:pStyle w:val="Heading3"/>
      </w:pPr>
      <w:r>
        <w:t xml:space="preserve">1. Hyperscale approval is the central catalyst</w:t>
      </w:r>
    </w:p>
    <w:p>
      <w:pPr>
        <w:pStyle w:val="FirstParagraph"/>
      </w:pPr>
      <w:r>
        <w:t xml:space="preserve">At the end of Q1, Generac was in the final stages of approval with</w:t>
      </w:r>
      <w:r>
        <w:t xml:space="preserve"> </w:t>
      </w:r>
      <w:r>
        <w:rPr>
          <w:b/>
          <w:bCs/>
        </w:rPr>
        <w:t xml:space="preserve">two hyperscale data-center customers</w:t>
      </w:r>
      <w:r>
        <w:t xml:space="preserve">. Management characterized the more advanced process as essentially 99% complete.</w:t>
      </w:r>
    </w:p>
    <w:p>
      <w:pPr>
        <w:pStyle w:val="BodyText"/>
      </w:pPr>
      <w:r>
        <w:t xml:space="preserve">The company had received a</w:t>
      </w:r>
      <w:r>
        <w:t xml:space="preserve"> </w:t>
      </w:r>
      <w:r>
        <w:rPr>
          <w:b/>
          <w:bCs/>
        </w:rPr>
        <w:t xml:space="preserve">nonbinding notice to proceed for approximately $600 million of 2027 deliveries</w:t>
      </w:r>
      <w:r>
        <w:t xml:space="preserve"> </w:t>
      </w:r>
      <w:r>
        <w:t xml:space="preserve">from one prospective hyperscale customer. That amount was not included in the disclosed data-center backlog.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3"/>
        </w:numPr>
      </w:pPr>
      <w:r>
        <w:t xml:space="preserve">Has Generac formally joined the customer’s approved vendor list?</w:t>
      </w:r>
    </w:p>
    <w:p>
      <w:pPr>
        <w:pStyle w:val="Compact"/>
        <w:numPr>
          <w:ilvl w:val="0"/>
          <w:numId w:val="1003"/>
        </w:numPr>
      </w:pPr>
      <w:r>
        <w:t xml:space="preserve">Has the $600 million notice converted into a binding agreement or purchase orders?</w:t>
      </w:r>
    </w:p>
    <w:p>
      <w:pPr>
        <w:pStyle w:val="Compact"/>
        <w:numPr>
          <w:ilvl w:val="0"/>
          <w:numId w:val="1003"/>
        </w:numPr>
      </w:pPr>
      <w:r>
        <w:t xml:space="preserve">Are site-level specifications and delivery schedules now finalized?</w:t>
      </w:r>
    </w:p>
    <w:p>
      <w:pPr>
        <w:pStyle w:val="Compact"/>
        <w:numPr>
          <w:ilvl w:val="0"/>
          <w:numId w:val="1003"/>
        </w:numPr>
      </w:pPr>
      <w:r>
        <w:t xml:space="preserve">Has the second hyperscaler advanced meaningfully?</w:t>
      </w:r>
    </w:p>
    <w:p>
      <w:pPr>
        <w:pStyle w:val="Compact"/>
        <w:numPr>
          <w:ilvl w:val="0"/>
          <w:numId w:val="1003"/>
        </w:numPr>
      </w:pPr>
      <w:r>
        <w:t xml:space="preserve">Does management still expect approval in the near term?</w:t>
      </w:r>
    </w:p>
    <w:p>
      <w:pPr>
        <w:pStyle w:val="FirstParagraph"/>
      </w:pPr>
      <w:r>
        <w:t xml:space="preserve">A delay does not necessarily imply a loss—the qualification process is lengthy and rigorous—but another quarter without formal approval would keep execution risk elevated.</w:t>
      </w:r>
    </w:p>
    <w:bookmarkEnd w:id="11"/>
    <w:bookmarkStart w:id="12" w:name="Xa42ceda39a14ee1b01cbcd7a473f9d8cb176502"/>
    <w:p>
      <w:pPr>
        <w:pStyle w:val="Heading3"/>
      </w:pPr>
      <w:r>
        <w:t xml:space="preserve">2. Data-center backlog and conversion</w:t>
      </w:r>
    </w:p>
    <w:p>
      <w:pPr>
        <w:pStyle w:val="FirstParagraph"/>
      </w:pPr>
      <w:r>
        <w:t xml:space="preserve">Data-center backlog exceeded</w:t>
      </w:r>
      <w:r>
        <w:t xml:space="preserve"> </w:t>
      </w:r>
      <w:r>
        <w:rPr>
          <w:b/>
          <w:bCs/>
        </w:rPr>
        <w:t xml:space="preserve">$700 million</w:t>
      </w:r>
      <w:r>
        <w:t xml:space="preserve"> </w:t>
      </w:r>
      <w:r>
        <w:t xml:space="preserve">at the Q1 update, up approximately $300 million from mid-February. Management said it provided visibility through 2027 and excluded the prospective $600 million hyperscale commitment.</w:t>
      </w:r>
    </w:p>
    <w:p>
      <w:pPr>
        <w:pStyle w:val="BodyText"/>
      </w:pPr>
      <w:r>
        <w:t xml:space="preserve">That makes backlog the report’s most important operating KPI. A constructive update would include:</w:t>
      </w:r>
    </w:p>
    <w:p>
      <w:pPr>
        <w:pStyle w:val="Compact"/>
        <w:numPr>
          <w:ilvl w:val="0"/>
          <w:numId w:val="1004"/>
        </w:numPr>
      </w:pPr>
      <w:r>
        <w:t xml:space="preserve">Backlog continuing to rise despite Q2 shipments.</w:t>
      </w:r>
    </w:p>
    <w:p>
      <w:pPr>
        <w:pStyle w:val="Compact"/>
        <w:numPr>
          <w:ilvl w:val="0"/>
          <w:numId w:val="1004"/>
        </w:numPr>
      </w:pPr>
      <w:r>
        <w:t xml:space="preserve">Greater 2027 visibility.</w:t>
      </w:r>
    </w:p>
    <w:p>
      <w:pPr>
        <w:pStyle w:val="Compact"/>
        <w:numPr>
          <w:ilvl w:val="0"/>
          <w:numId w:val="1004"/>
        </w:numPr>
      </w:pPr>
      <w:r>
        <w:t xml:space="preserve">New orders from both colocation and non-hyperscale customers.</w:t>
      </w:r>
    </w:p>
    <w:p>
      <w:pPr>
        <w:pStyle w:val="Compact"/>
        <w:numPr>
          <w:ilvl w:val="0"/>
          <w:numId w:val="1004"/>
        </w:numPr>
      </w:pPr>
      <w:r>
        <w:t xml:space="preserve">More detail on backlog margins, cancellation protections, and customer concentration.</w:t>
      </w:r>
    </w:p>
    <w:p>
      <w:pPr>
        <w:pStyle w:val="Compact"/>
        <w:numPr>
          <w:ilvl w:val="0"/>
          <w:numId w:val="1004"/>
        </w:numPr>
      </w:pPr>
      <w:r>
        <w:t xml:space="preserve">Evidence that the opportunity is broadening beyond a small number of projects.</w:t>
      </w:r>
    </w:p>
    <w:p>
      <w:pPr>
        <w:pStyle w:val="FirstParagraph"/>
      </w:pPr>
      <w:r>
        <w:t xml:space="preserve">A flat backlog could still be acceptable if shipments accelerated significantly, but management would need to explain bookings relative to revenue conversion.</w:t>
      </w:r>
    </w:p>
    <w:bookmarkEnd w:id="12"/>
    <w:bookmarkStart w:id="13" w:name="Xeadf1e652260c8790d95e331220cb141a15b822"/>
    <w:p>
      <w:pPr>
        <w:pStyle w:val="Heading3"/>
      </w:pPr>
      <w:r>
        <w:t xml:space="preserve">3. Capacity: can Generac meet the opportunity?</w:t>
      </w:r>
    </w:p>
    <w:p>
      <w:pPr>
        <w:pStyle w:val="FirstParagraph"/>
      </w:pPr>
      <w:r>
        <w:t xml:space="preserve">Generac’s new Sussex, Wisconsin, facility was expected to begin production in the second half of 2026, potentially as early as Q3. Combined domestic capacity for large-megawatt generators was expected to exceed</w:t>
      </w:r>
      <w:r>
        <w:t xml:space="preserve"> </w:t>
      </w:r>
      <w:r>
        <w:rPr>
          <w:b/>
          <w:bCs/>
        </w:rPr>
        <w:t xml:space="preserve">$1 billion by Q4</w:t>
      </w:r>
      <w:r>
        <w:t xml:space="preserve">.</w:t>
      </w:r>
    </w:p>
    <w:p>
      <w:pPr>
        <w:pStyle w:val="BodyText"/>
      </w:pPr>
      <w:r>
        <w:t xml:space="preserve">Management has already suggested that winning both hyperscale accounts would require substantially more capacity—potentially moving from roughly $1 billion toward $2 billion or $3 billion over time.</w:t>
      </w:r>
    </w:p>
    <w:p>
      <w:pPr>
        <w:pStyle w:val="BodyText"/>
      </w:pPr>
      <w:r>
        <w:t xml:space="preserve">Questions for the call:</w:t>
      </w:r>
    </w:p>
    <w:p>
      <w:pPr>
        <w:pStyle w:val="Compact"/>
        <w:numPr>
          <w:ilvl w:val="0"/>
          <w:numId w:val="1005"/>
        </w:numPr>
      </w:pPr>
      <w:r>
        <w:t xml:space="preserve">Is Sussex on schedule, ahead of schedule, or facing commissioning delays?</w:t>
      </w:r>
    </w:p>
    <w:p>
      <w:pPr>
        <w:pStyle w:val="Compact"/>
        <w:numPr>
          <w:ilvl w:val="0"/>
          <w:numId w:val="1005"/>
        </w:numPr>
      </w:pPr>
      <w:r>
        <w:t xml:space="preserve">What is the expected utilization rate entering 2027?</w:t>
      </w:r>
    </w:p>
    <w:p>
      <w:pPr>
        <w:pStyle w:val="Compact"/>
        <w:numPr>
          <w:ilvl w:val="0"/>
          <w:numId w:val="1005"/>
        </w:numPr>
      </w:pPr>
      <w:r>
        <w:t xml:space="preserve">Have long-lead engines, alternators and cooling packages been secured?</w:t>
      </w:r>
    </w:p>
    <w:p>
      <w:pPr>
        <w:pStyle w:val="Compact"/>
        <w:numPr>
          <w:ilvl w:val="0"/>
          <w:numId w:val="1005"/>
        </w:numPr>
      </w:pPr>
      <w:r>
        <w:t xml:space="preserve">Will the next capacity addition be brownfield, greenfield or acquired?</w:t>
      </w:r>
    </w:p>
    <w:p>
      <w:pPr>
        <w:pStyle w:val="Compact"/>
        <w:numPr>
          <w:ilvl w:val="0"/>
          <w:numId w:val="1005"/>
        </w:numPr>
      </w:pPr>
      <w:r>
        <w:t xml:space="preserve">How much incremental capital spending would be required?</w:t>
      </w:r>
    </w:p>
    <w:p>
      <w:pPr>
        <w:pStyle w:val="FirstParagraph"/>
      </w:pPr>
      <w:r>
        <w:t xml:space="preserve">This is a positive demand problem, but premature spending or an uneven production ramp could pressure cash flow and margins.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segment-outlook"/>
    <w:p>
      <w:pPr>
        <w:pStyle w:val="Heading2"/>
      </w:pPr>
      <w:r>
        <w:t xml:space="preserve">Segment outlook</w:t>
      </w:r>
    </w:p>
    <w:bookmarkStart w:id="15" w:name="commercial--industrial-the-growth-engine"/>
    <w:p>
      <w:pPr>
        <w:pStyle w:val="Heading3"/>
      </w:pPr>
      <w:r>
        <w:t xml:space="preserve">Commercial &amp; Industrial: the growth engine</w:t>
      </w:r>
    </w:p>
    <w:p>
      <w:pPr>
        <w:pStyle w:val="FirstParagraph"/>
      </w:pPr>
      <w:r>
        <w:t xml:space="preserve">Q1 C&amp;I sales rose</w:t>
      </w:r>
      <w:r>
        <w:t xml:space="preserve"> </w:t>
      </w:r>
      <w:r>
        <w:rPr>
          <w:b/>
          <w:bCs/>
        </w:rPr>
        <w:t xml:space="preserve">28% to $510 million</w:t>
      </w:r>
      <w:r>
        <w:t xml:space="preserve">, with adjusted EBITDA margin improving to</w:t>
      </w:r>
      <w:r>
        <w:t xml:space="preserve"> </w:t>
      </w:r>
      <w:r>
        <w:rPr>
          <w:b/>
          <w:bCs/>
        </w:rPr>
        <w:t xml:space="preserve">13.0% from 11.4%</w:t>
      </w:r>
      <w:r>
        <w:t xml:space="preserve">. Management subsequently raised full-year C&amp;I growth guidance to the</w:t>
      </w:r>
      <w:r>
        <w:t xml:space="preserve"> </w:t>
      </w:r>
      <w:r>
        <w:rPr>
          <w:b/>
          <w:bCs/>
        </w:rPr>
        <w:t xml:space="preserve">mid- to high-20% range</w:t>
      </w:r>
      <w:r>
        <w:t xml:space="preserve">.</w:t>
      </w:r>
    </w:p>
    <w:p>
      <w:pPr>
        <w:pStyle w:val="BodyText"/>
      </w:pPr>
      <w:r>
        <w:t xml:space="preserve">The quarter should benefit from:</w:t>
      </w:r>
    </w:p>
    <w:p>
      <w:pPr>
        <w:pStyle w:val="Compact"/>
        <w:numPr>
          <w:ilvl w:val="0"/>
          <w:numId w:val="1006"/>
        </w:numPr>
      </w:pPr>
      <w:r>
        <w:t xml:space="preserve">Data-center generator shipments.</w:t>
      </w:r>
    </w:p>
    <w:p>
      <w:pPr>
        <w:pStyle w:val="Compact"/>
        <w:numPr>
          <w:ilvl w:val="0"/>
          <w:numId w:val="1006"/>
        </w:numPr>
      </w:pPr>
      <w:r>
        <w:t xml:space="preserve">Telecom order improvement.</w:t>
      </w:r>
    </w:p>
    <w:p>
      <w:pPr>
        <w:pStyle w:val="Compact"/>
        <w:numPr>
          <w:ilvl w:val="0"/>
          <w:numId w:val="1006"/>
        </w:numPr>
      </w:pPr>
      <w:r>
        <w:t xml:space="preserve">A rental-equipment replacement cycle.</w:t>
      </w:r>
    </w:p>
    <w:p>
      <w:pPr>
        <w:pStyle w:val="Compact"/>
        <w:numPr>
          <w:ilvl w:val="0"/>
          <w:numId w:val="1006"/>
        </w:numPr>
      </w:pPr>
      <w:r>
        <w:t xml:space="preserve">A full quarter of Allmand.</w:t>
      </w:r>
    </w:p>
    <w:p>
      <w:pPr>
        <w:pStyle w:val="Compact"/>
        <w:numPr>
          <w:ilvl w:val="0"/>
          <w:numId w:val="1006"/>
        </w:numPr>
      </w:pPr>
      <w:r>
        <w:t xml:space="preserve">The initial contribution from Enercon.</w:t>
      </w:r>
    </w:p>
    <w:p>
      <w:pPr>
        <w:pStyle w:val="Compact"/>
        <w:numPr>
          <w:ilvl w:val="0"/>
          <w:numId w:val="1006"/>
        </w:numPr>
      </w:pPr>
      <w:r>
        <w:t xml:space="preserve">Better operating leverage and price/cost realization.</w:t>
      </w:r>
    </w:p>
    <w:p>
      <w:pPr>
        <w:pStyle w:val="FirstParagraph"/>
      </w:pPr>
      <w:r>
        <w:t xml:space="preserve">The most important margin question is whether higher data-center volume remains accretive. Management has argued that constrained industry capacity supports attractive pricing and that Enercon’s vertical integration should improve the economics further.</w:t>
      </w:r>
    </w:p>
    <w:p>
      <w:pPr>
        <w:pStyle w:val="BodyText"/>
      </w:pPr>
      <w:r>
        <w:t xml:space="preserve">A strong result would combine high-30% C&amp;I growth with stable or improving segment margins. If revenue rises sharply but margins weaken, investors may question project pricing, ramp costs, acquisition mix or supply-chain efficiency.</w:t>
      </w:r>
    </w:p>
    <w:bookmarkEnd w:id="15"/>
    <w:bookmarkStart w:id="16" w:name="X1633f24caf9c1aa7edace1c4c7908156b4abcdb"/>
    <w:p>
      <w:pPr>
        <w:pStyle w:val="Heading3"/>
      </w:pPr>
      <w:r>
        <w:t xml:space="preserve">Residential: margin resilience versus uncertain demand</w:t>
      </w:r>
    </w:p>
    <w:p>
      <w:pPr>
        <w:pStyle w:val="FirstParagraph"/>
      </w:pPr>
      <w:r>
        <w:t xml:space="preserve">Q1 Residential sales were roughly flat, but adjusted EBITDA margin expanded nearly 500 basis points to</w:t>
      </w:r>
      <w:r>
        <w:t xml:space="preserve"> </w:t>
      </w:r>
      <w:r>
        <w:rPr>
          <w:b/>
          <w:bCs/>
        </w:rPr>
        <w:t xml:space="preserve">25.1%</w:t>
      </w:r>
      <w:r>
        <w:t xml:space="preserve">. About three points of the improvement came from lower operating expenses, reflecting the Generac Home reorganization and reduced clean-energy spending.</w:t>
      </w:r>
    </w:p>
    <w:p>
      <w:pPr>
        <w:pStyle w:val="BodyText"/>
      </w:pPr>
      <w:r>
        <w:t xml:space="preserve">For Q2, watch:</w:t>
      </w:r>
    </w:p>
    <w:p>
      <w:pPr>
        <w:pStyle w:val="Compact"/>
        <w:numPr>
          <w:ilvl w:val="0"/>
          <w:numId w:val="1007"/>
        </w:numPr>
      </w:pPr>
      <w:r>
        <w:t xml:space="preserve">Home standby unit volumes versus pricing.</w:t>
      </w:r>
    </w:p>
    <w:p>
      <w:pPr>
        <w:pStyle w:val="Compact"/>
        <w:numPr>
          <w:ilvl w:val="0"/>
          <w:numId w:val="1007"/>
        </w:numPr>
      </w:pPr>
      <w:r>
        <w:t xml:space="preserve">Conversion of leads generated by Winter Storm Fern.</w:t>
      </w:r>
    </w:p>
    <w:p>
      <w:pPr>
        <w:pStyle w:val="Compact"/>
        <w:numPr>
          <w:ilvl w:val="0"/>
          <w:numId w:val="1007"/>
        </w:numPr>
      </w:pPr>
      <w:r>
        <w:t xml:space="preserve">Dealer inventories and installation activity.</w:t>
      </w:r>
    </w:p>
    <w:p>
      <w:pPr>
        <w:pStyle w:val="Compact"/>
        <w:numPr>
          <w:ilvl w:val="0"/>
          <w:numId w:val="1007"/>
        </w:numPr>
      </w:pPr>
      <w:r>
        <w:t xml:space="preserve">The performance of the new lead-pooling system.</w:t>
      </w:r>
    </w:p>
    <w:p>
      <w:pPr>
        <w:pStyle w:val="Compact"/>
        <w:numPr>
          <w:ilvl w:val="0"/>
          <w:numId w:val="1007"/>
        </w:numPr>
      </w:pPr>
      <w:r>
        <w:t xml:space="preserve">Portable-generator demand.</w:t>
      </w:r>
    </w:p>
    <w:p>
      <w:pPr>
        <w:pStyle w:val="Compact"/>
        <w:numPr>
          <w:ilvl w:val="0"/>
          <w:numId w:val="1007"/>
        </w:numPr>
      </w:pPr>
      <w:r>
        <w:t xml:space="preserve">PWRmicro production and customer qualification.</w:t>
      </w:r>
    </w:p>
    <w:p>
      <w:pPr>
        <w:pStyle w:val="Compact"/>
        <w:numPr>
          <w:ilvl w:val="0"/>
          <w:numId w:val="1007"/>
        </w:numPr>
      </w:pPr>
      <w:r>
        <w:t xml:space="preserve">Continued profitability improvement at ecobee.</w:t>
      </w:r>
    </w:p>
    <w:p>
      <w:pPr>
        <w:pStyle w:val="FirstParagraph"/>
      </w:pPr>
      <w:r>
        <w:t xml:space="preserve">Management previously suggested that Q2 consolidated growth would be driven entirely by C&amp;I, with most Residential growth occurring in the second half. A strong Q2 Residential result would therefore be upside, but investors should distinguish underlying installations from channel stocking or price.</w:t>
      </w:r>
    </w:p>
    <w:p>
      <w:pPr>
        <w:pStyle w:val="BodyText"/>
      </w:pPr>
      <w:r>
        <w:t xml:space="preserve">The full-year Residential forecast still calls for approximately</w:t>
      </w:r>
      <w:r>
        <w:t xml:space="preserve"> </w:t>
      </w:r>
      <w:r>
        <w:rPr>
          <w:b/>
          <w:bCs/>
        </w:rPr>
        <w:t xml:space="preserve">10% growth</w:t>
      </w:r>
      <w:r>
        <w:t xml:space="preserve">, largely because the second half compares against unusually low outage activity in 2025. That makes management’s confidence in second-half home standby acceleration an important guidance input.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margins-and-earnings-quality"/>
    <w:p>
      <w:pPr>
        <w:pStyle w:val="Heading2"/>
      </w:pPr>
      <w:r>
        <w:t xml:space="preserve">Margins and earnings quality</w:t>
      </w:r>
    </w:p>
    <w:p>
      <w:pPr>
        <w:pStyle w:val="FirstParagraph"/>
      </w:pPr>
      <w:r>
        <w:t xml:space="preserve">Q1 adjusted EBITDA margin was</w:t>
      </w:r>
      <w:r>
        <w:t xml:space="preserve"> </w:t>
      </w:r>
      <w:r>
        <w:rPr>
          <w:b/>
          <w:bCs/>
        </w:rPr>
        <w:t xml:space="preserve">18.3%</w:t>
      </w:r>
      <w:r>
        <w:t xml:space="preserve">, above management’s expectations. For Q2, management indicated an approximately</w:t>
      </w:r>
      <w:r>
        <w:t xml:space="preserve"> </w:t>
      </w:r>
      <w:r>
        <w:rPr>
          <w:b/>
          <w:bCs/>
        </w:rPr>
        <w:t xml:space="preserve">18% margin</w:t>
      </w:r>
      <w:r>
        <w:t xml:space="preserve">, followed by sequential improvement in the second half and roughly</w:t>
      </w:r>
      <w:r>
        <w:t xml:space="preserve"> </w:t>
      </w:r>
      <w:r>
        <w:rPr>
          <w:b/>
          <w:bCs/>
        </w:rPr>
        <w:t xml:space="preserve">20% in Q4</w:t>
      </w:r>
      <w:r>
        <w:t xml:space="preserve">.</w:t>
      </w:r>
    </w:p>
    <w:p>
      <w:pPr>
        <w:pStyle w:val="BodyText"/>
      </w:pPr>
      <w:r>
        <w:t xml:space="preserve">The key margin bridge includes:</w:t>
      </w:r>
    </w:p>
    <w:p>
      <w:pPr>
        <w:pStyle w:val="BodyText"/>
      </w:pPr>
      <w:r>
        <w:rPr>
          <w:b/>
          <w:bCs/>
        </w:rPr>
        <w:t xml:space="preserve">Positive</w:t>
      </w:r>
    </w:p>
    <w:p>
      <w:pPr>
        <w:pStyle w:val="Compact"/>
        <w:numPr>
          <w:ilvl w:val="0"/>
          <w:numId w:val="1008"/>
        </w:numPr>
      </w:pPr>
      <w:r>
        <w:t xml:space="preserve">Residential expense reductions.</w:t>
      </w:r>
    </w:p>
    <w:p>
      <w:pPr>
        <w:pStyle w:val="Compact"/>
        <w:numPr>
          <w:ilvl w:val="0"/>
          <w:numId w:val="1008"/>
        </w:numPr>
      </w:pPr>
      <w:r>
        <w:t xml:space="preserve">Higher pricing.</w:t>
      </w:r>
    </w:p>
    <w:p>
      <w:pPr>
        <w:pStyle w:val="Compact"/>
        <w:numPr>
          <w:ilvl w:val="0"/>
          <w:numId w:val="1008"/>
        </w:numPr>
      </w:pPr>
      <w:r>
        <w:t xml:space="preserve">C&amp;I operating leverage.</w:t>
      </w:r>
    </w:p>
    <w:p>
      <w:pPr>
        <w:pStyle w:val="Compact"/>
        <w:numPr>
          <w:ilvl w:val="0"/>
          <w:numId w:val="1008"/>
        </w:numPr>
      </w:pPr>
      <w:r>
        <w:t xml:space="preserve">Enercon vertical integration.</w:t>
      </w:r>
    </w:p>
    <w:p>
      <w:pPr>
        <w:pStyle w:val="Compact"/>
        <w:numPr>
          <w:ilvl w:val="0"/>
          <w:numId w:val="1008"/>
        </w:numPr>
      </w:pPr>
      <w:r>
        <w:t xml:space="preserve">Improved ecobee profitability.</w:t>
      </w:r>
    </w:p>
    <w:p>
      <w:pPr>
        <w:pStyle w:val="Compact"/>
        <w:numPr>
          <w:ilvl w:val="0"/>
          <w:numId w:val="1008"/>
        </w:numPr>
      </w:pPr>
      <w:r>
        <w:t xml:space="preserve">Allmand synergies.</w:t>
      </w:r>
    </w:p>
    <w:p>
      <w:pPr>
        <w:pStyle w:val="FirstParagraph"/>
      </w:pPr>
      <w:r>
        <w:rPr>
          <w:b/>
          <w:bCs/>
        </w:rPr>
        <w:t xml:space="preserve">Negative</w:t>
      </w:r>
    </w:p>
    <w:p>
      <w:pPr>
        <w:pStyle w:val="Compact"/>
        <w:numPr>
          <w:ilvl w:val="0"/>
          <w:numId w:val="1009"/>
        </w:numPr>
      </w:pPr>
      <w:r>
        <w:t xml:space="preserve">A higher mix of lower-margin C&amp;I revenue.</w:t>
      </w:r>
    </w:p>
    <w:p>
      <w:pPr>
        <w:pStyle w:val="Compact"/>
        <w:numPr>
          <w:ilvl w:val="0"/>
          <w:numId w:val="1009"/>
        </w:numPr>
      </w:pPr>
      <w:r>
        <w:t xml:space="preserve">Tariffs and commodity inflation.</w:t>
      </w:r>
    </w:p>
    <w:p>
      <w:pPr>
        <w:pStyle w:val="Compact"/>
        <w:numPr>
          <w:ilvl w:val="0"/>
          <w:numId w:val="1009"/>
        </w:numPr>
      </w:pPr>
      <w:r>
        <w:t xml:space="preserve">Data-center capacity-ramp costs.</w:t>
      </w:r>
    </w:p>
    <w:p>
      <w:pPr>
        <w:pStyle w:val="Compact"/>
        <w:numPr>
          <w:ilvl w:val="0"/>
          <w:numId w:val="1009"/>
        </w:numPr>
      </w:pPr>
      <w:r>
        <w:t xml:space="preserve">Acquisition-related expenses.</w:t>
      </w:r>
    </w:p>
    <w:p>
      <w:pPr>
        <w:pStyle w:val="Compact"/>
        <w:numPr>
          <w:ilvl w:val="0"/>
          <w:numId w:val="1009"/>
        </w:numPr>
      </w:pPr>
      <w:r>
        <w:t xml:space="preserve">Increased investment in engineering, service and supply chain.</w:t>
      </w:r>
    </w:p>
    <w:p>
      <w:pPr>
        <w:pStyle w:val="FirstParagraph"/>
      </w:pPr>
      <w:r>
        <w:t xml:space="preserve">The Street’s approximately</w:t>
      </w:r>
      <w:r>
        <w:t xml:space="preserve"> </w:t>
      </w:r>
      <w:r>
        <w:rPr>
          <w:b/>
          <w:bCs/>
        </w:rPr>
        <w:t xml:space="preserve">38.6% gross-margin expectation</w:t>
      </w:r>
      <w:r>
        <w:t xml:space="preserve"> </w:t>
      </w:r>
      <w:r>
        <w:t xml:space="preserve">is broadly consistent with Q1’s 38.7%. A gross-margin miss would be more concerning if caused by unfavorable data-center economics rather than temporary facility or acquisition costs.</w:t>
      </w:r>
    </w:p>
    <w:p>
      <w:r>
        <w:pict>
          <v:rect style="width:0;height:1.5pt" o:hralign="center" o:hrstd="t" o:hr="t"/>
        </w:pict>
      </w:r>
    </w:p>
    <w:bookmarkEnd w:id="18"/>
    <w:bookmarkStart w:id="19" w:name="guidance-what-would-count-as-bullish"/>
    <w:p>
      <w:pPr>
        <w:pStyle w:val="Heading2"/>
      </w:pPr>
      <w:r>
        <w:t xml:space="preserve">Guidance: what would count as bullish?</w:t>
      </w:r>
    </w:p>
    <w:p>
      <w:pPr>
        <w:pStyle w:val="FirstParagraph"/>
      </w:pPr>
      <w:r>
        <w:t xml:space="preserve">Current 2026 guidance calls for: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Mid- to high-teens consolidated sales growth.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Mid- to high-20% C&amp;I growth.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Approximately 10% Residential growth.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38.5%–39.5% gross margin.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18.5%–19.5% adjusted EBITDA margin.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Approximately $350 million of free cash flow.</w:t>
      </w:r>
    </w:p>
    <w:p>
      <w:pPr>
        <w:pStyle w:val="FirstParagraph"/>
      </w:pPr>
      <w:r>
        <w:t xml:space="preserve">A meaningful positive update would likely require at least one of the following:</w:t>
      </w:r>
    </w:p>
    <w:p>
      <w:pPr>
        <w:pStyle w:val="Compact"/>
        <w:numPr>
          <w:ilvl w:val="0"/>
          <w:numId w:val="1011"/>
        </w:numPr>
      </w:pPr>
      <w:r>
        <w:t xml:space="preserve">Raising C&amp;I growth again.</w:t>
      </w:r>
    </w:p>
    <w:p>
      <w:pPr>
        <w:pStyle w:val="Compact"/>
        <w:numPr>
          <w:ilvl w:val="0"/>
          <w:numId w:val="1011"/>
        </w:numPr>
      </w:pPr>
      <w:r>
        <w:t xml:space="preserve">Moving consolidated growth toward the top end of the current description.</w:t>
      </w:r>
    </w:p>
    <w:p>
      <w:pPr>
        <w:pStyle w:val="Compact"/>
        <w:numPr>
          <w:ilvl w:val="0"/>
          <w:numId w:val="1011"/>
        </w:numPr>
      </w:pPr>
      <w:r>
        <w:t xml:space="preserve">Raising adjusted EBITDA-margin guidance above 19.5% at the high end.</w:t>
      </w:r>
    </w:p>
    <w:p>
      <w:pPr>
        <w:pStyle w:val="Compact"/>
        <w:numPr>
          <w:ilvl w:val="0"/>
          <w:numId w:val="1011"/>
        </w:numPr>
      </w:pPr>
      <w:r>
        <w:t xml:space="preserve">Increasing the data-center revenue outlook.</w:t>
      </w:r>
    </w:p>
    <w:p>
      <w:pPr>
        <w:pStyle w:val="Compact"/>
        <w:numPr>
          <w:ilvl w:val="0"/>
          <w:numId w:val="1011"/>
        </w:numPr>
      </w:pPr>
      <w:r>
        <w:t xml:space="preserve">Announcing formal hyperscale approval or binding orders.</w:t>
      </w:r>
    </w:p>
    <w:p>
      <w:pPr>
        <w:pStyle w:val="Compact"/>
        <w:numPr>
          <w:ilvl w:val="0"/>
          <w:numId w:val="1011"/>
        </w:numPr>
      </w:pPr>
      <w:r>
        <w:t xml:space="preserve">Increasing backlog while maintaining favorable margin commentary.</w:t>
      </w:r>
    </w:p>
    <w:p>
      <w:pPr>
        <w:pStyle w:val="FirstParagraph"/>
      </w:pPr>
      <w:r>
        <w:t xml:space="preserve">A simple reaffirmation could still be received positively if paired with strong hyperscale progress. By contrast, higher revenue guidance without corresponding margin or cash-flow improvement may be viewed as lower-quality upside.</w:t>
      </w:r>
    </w:p>
    <w:p>
      <w:r>
        <w:pict>
          <v:rect style="width:0;height:1.5pt" o:hralign="center" o:hrstd="t" o:hr="t"/>
        </w:pict>
      </w:r>
    </w:p>
    <w:bookmarkEnd w:id="19"/>
    <w:bookmarkStart w:id="20" w:name="cash-flow-and-balance-sheet-items"/>
    <w:p>
      <w:pPr>
        <w:pStyle w:val="Heading2"/>
      </w:pPr>
      <w:r>
        <w:t xml:space="preserve">Cash flow and balance-sheet items</w:t>
      </w:r>
    </w:p>
    <w:p>
      <w:pPr>
        <w:pStyle w:val="FirstParagraph"/>
      </w:pPr>
      <w:r>
        <w:t xml:space="preserve">Q1 free cash flow was</w:t>
      </w:r>
      <w:r>
        <w:t xml:space="preserve"> </w:t>
      </w:r>
      <w:r>
        <w:rPr>
          <w:b/>
          <w:bCs/>
        </w:rPr>
        <w:t xml:space="preserve">$90 million</w:t>
      </w:r>
      <w:r>
        <w:t xml:space="preserve">, up from $27 million a year earlier, and management maintained its approximately $350 million full-year target.</w:t>
      </w:r>
    </w:p>
    <w:p>
      <w:pPr>
        <w:pStyle w:val="BodyText"/>
      </w:pPr>
      <w:r>
        <w:t xml:space="preserve">Q2 cash flow may be noisy because:</w:t>
      </w:r>
    </w:p>
    <w:p>
      <w:pPr>
        <w:pStyle w:val="Compact"/>
        <w:numPr>
          <w:ilvl w:val="0"/>
          <w:numId w:val="1012"/>
        </w:numPr>
      </w:pPr>
      <w:r>
        <w:t xml:space="preserve">Generac paid a large previously reserved legal settlement on April 1, partly offset by insurance.</w:t>
      </w:r>
    </w:p>
    <w:p>
      <w:pPr>
        <w:pStyle w:val="Compact"/>
        <w:numPr>
          <w:ilvl w:val="0"/>
          <w:numId w:val="1012"/>
        </w:numPr>
      </w:pPr>
      <w:r>
        <w:t xml:space="preserve">The Enercon acquisition used approximately $77 million of cash and $45 million of stock.</w:t>
      </w:r>
    </w:p>
    <w:p>
      <w:pPr>
        <w:pStyle w:val="Compact"/>
        <w:numPr>
          <w:ilvl w:val="0"/>
          <w:numId w:val="1012"/>
        </w:numPr>
      </w:pPr>
      <w:r>
        <w:t xml:space="preserve">Capacity expansion is increasing capital expenditures.</w:t>
      </w:r>
    </w:p>
    <w:p>
      <w:pPr>
        <w:pStyle w:val="Compact"/>
        <w:numPr>
          <w:ilvl w:val="0"/>
          <w:numId w:val="1012"/>
        </w:numPr>
      </w:pPr>
      <w:r>
        <w:t xml:space="preserve">Data-center growth could require additional working capital.</w:t>
      </w:r>
    </w:p>
    <w:p>
      <w:pPr>
        <w:pStyle w:val="FirstParagraph"/>
      </w:pPr>
      <w:r>
        <w:t xml:space="preserve">At March 31, Generac had approximately</w:t>
      </w:r>
      <w:r>
        <w:t xml:space="preserve"> </w:t>
      </w:r>
      <m:oMath>
        <m:r>
          <m:t>266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c</m:t>
        </m:r>
        <m:r>
          <m:t>a</m:t>
        </m:r>
        <m:r>
          <m:t>s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 billion of unused revolver availability</w:t>
      </w:r>
      <w:r>
        <w:t xml:space="preserve">, and leverage comfortably within its target range. Funding capacity is not the immediate concern; the issue is whether investment generates the expected returns and whether working capital remains controlled.</w:t>
      </w:r>
    </w:p>
    <w:p>
      <w:r>
        <w:pict>
          <v:rect style="width:0;height:1.5pt" o:hralign="center" o:hrstd="t" o:hr="t"/>
        </w:pict>
      </w:r>
    </w:p>
    <w:bookmarkEnd w:id="20"/>
    <w:bookmarkStart w:id="21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GNRC closed July 28 at</w:t>
      </w:r>
      <w:r>
        <w:t xml:space="preserve"> </w:t>
      </w:r>
      <w:r>
        <w:rPr>
          <w:b/>
          <w:bCs/>
        </w:rPr>
        <w:t xml:space="preserve">$195.63</w:t>
      </w:r>
      <w:r>
        <w:t xml:space="preserve">. That was approximately</w:t>
      </w:r>
      <w:r>
        <w:t xml:space="preserve"> </w:t>
      </w:r>
      <w:r>
        <w:rPr>
          <w:b/>
          <w:bCs/>
        </w:rPr>
        <w:t xml:space="preserve">43% above</w:t>
      </w:r>
      <w:r>
        <w:t xml:space="preserve"> </w:t>
      </w:r>
      <w:r>
        <w:t xml:space="preserve">its 2025 year-end close, but roughly</w:t>
      </w:r>
      <w:r>
        <w:t xml:space="preserve"> </w:t>
      </w:r>
      <w:r>
        <w:rPr>
          <w:b/>
          <w:bCs/>
        </w:rPr>
        <w:t xml:space="preserve">34% below</w:t>
      </w:r>
      <w:r>
        <w:t xml:space="preserve"> </w:t>
      </w:r>
      <w:r>
        <w:t xml:space="preserve">its late-June high and about</w:t>
      </w:r>
      <w:r>
        <w:t xml:space="preserve"> </w:t>
      </w:r>
      <w:r>
        <w:rPr>
          <w:b/>
          <w:bCs/>
        </w:rPr>
        <w:t xml:space="preserve">10% below</w:t>
      </w:r>
      <w:r>
        <w:t xml:space="preserve"> </w:t>
      </w:r>
      <w:r>
        <w:t xml:space="preserve">the price immediately before the Q1 earnings release.</w:t>
      </w:r>
    </w:p>
    <w:p>
      <w:pPr>
        <w:pStyle w:val="BodyText"/>
      </w:pPr>
      <w:r>
        <w:t xml:space="preserve">The sharp pullback has reset some near-term expectations, but the stock remains highly sensitive to data-center headlines. Its reaction will probably depend less on whether EPS is $1.95 or $2.05 and more on whether management can increase confidence in the scale, timing and profitability of 2027 hyperscale revenue.</w:t>
      </w:r>
    </w:p>
    <w:p>
      <w:r>
        <w:pict>
          <v:rect style="width:0;height:1.5pt" o:hralign="center" o:hrstd="t" o:hr="t"/>
        </w:pict>
      </w:r>
    </w:p>
    <w:bookmarkEnd w:id="21"/>
    <w:bookmarkStart w:id="25" w:name="bull-base-and-bear-interpretations"/>
    <w:p>
      <w:pPr>
        <w:pStyle w:val="Heading2"/>
      </w:pPr>
      <w:r>
        <w:t xml:space="preserve">Bull, base and bear interpretations</w:t>
      </w:r>
    </w:p>
    <w:bookmarkStart w:id="22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3"/>
        </w:numPr>
      </w:pPr>
      <w:r>
        <w:t xml:space="preserve">Revenue and EPS beat.</w:t>
      </w:r>
    </w:p>
    <w:p>
      <w:pPr>
        <w:pStyle w:val="Compact"/>
        <w:numPr>
          <w:ilvl w:val="0"/>
          <w:numId w:val="1013"/>
        </w:numPr>
      </w:pPr>
      <w:r>
        <w:t xml:space="preserve">C&amp;I growth exceeds expectations with improving margins.</w:t>
      </w:r>
    </w:p>
    <w:p>
      <w:pPr>
        <w:pStyle w:val="Compact"/>
        <w:numPr>
          <w:ilvl w:val="0"/>
          <w:numId w:val="1013"/>
        </w:numPr>
      </w:pPr>
      <w:r>
        <w:t xml:space="preserve">Data-center backlog rises materially.</w:t>
      </w:r>
    </w:p>
    <w:p>
      <w:pPr>
        <w:pStyle w:val="Compact"/>
        <w:numPr>
          <w:ilvl w:val="0"/>
          <w:numId w:val="1013"/>
        </w:numPr>
      </w:pPr>
      <w:r>
        <w:t xml:space="preserve">The $600 million hyperscale opportunity becomes binding or nearly finalized.</w:t>
      </w:r>
    </w:p>
    <w:p>
      <w:pPr>
        <w:pStyle w:val="Compact"/>
        <w:numPr>
          <w:ilvl w:val="0"/>
          <w:numId w:val="1013"/>
        </w:numPr>
      </w:pPr>
      <w:r>
        <w:t xml:space="preserve">Sussex begins production on or ahead of schedule.</w:t>
      </w:r>
    </w:p>
    <w:p>
      <w:pPr>
        <w:pStyle w:val="Compact"/>
        <w:numPr>
          <w:ilvl w:val="0"/>
          <w:numId w:val="1013"/>
        </w:numPr>
      </w:pPr>
      <w:r>
        <w:t xml:space="preserve">Full-year sales and EBITDA guidance increase.</w:t>
      </w:r>
    </w:p>
    <w:p>
      <w:pPr>
        <w:pStyle w:val="Compact"/>
        <w:numPr>
          <w:ilvl w:val="0"/>
          <w:numId w:val="1013"/>
        </w:numPr>
      </w:pPr>
      <w:r>
        <w:t xml:space="preserve">Residential margin gains prove durable.</w:t>
      </w:r>
    </w:p>
    <w:bookmarkEnd w:id="22"/>
    <w:bookmarkStart w:id="23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4"/>
        </w:numPr>
      </w:pPr>
      <w:r>
        <w:t xml:space="preserve">Revenue near consensus and adjusted EPS around $2.</w:t>
      </w:r>
    </w:p>
    <w:p>
      <w:pPr>
        <w:pStyle w:val="Compact"/>
        <w:numPr>
          <w:ilvl w:val="0"/>
          <w:numId w:val="1014"/>
        </w:numPr>
      </w:pPr>
      <w:r>
        <w:t xml:space="preserve">Strong C&amp;I offsets muted Residential demand.</w:t>
      </w:r>
    </w:p>
    <w:p>
      <w:pPr>
        <w:pStyle w:val="Compact"/>
        <w:numPr>
          <w:ilvl w:val="0"/>
          <w:numId w:val="1014"/>
        </w:numPr>
      </w:pPr>
      <w:r>
        <w:t xml:space="preserve">Hyperscale approval continues to progress but is not formally completed.</w:t>
      </w:r>
    </w:p>
    <w:p>
      <w:pPr>
        <w:pStyle w:val="Compact"/>
        <w:numPr>
          <w:ilvl w:val="0"/>
          <w:numId w:val="1014"/>
        </w:numPr>
      </w:pPr>
      <w:r>
        <w:t xml:space="preserve">Guidance is reaffirmed or modestly increased.</w:t>
      </w:r>
    </w:p>
    <w:p>
      <w:pPr>
        <w:pStyle w:val="Compact"/>
        <w:numPr>
          <w:ilvl w:val="0"/>
          <w:numId w:val="1014"/>
        </w:numPr>
      </w:pPr>
      <w:r>
        <w:t xml:space="preserve">Management maintains confidence in second-half Residential growth and Q4 margin expansion.</w:t>
      </w:r>
    </w:p>
    <w:bookmarkEnd w:id="23"/>
    <w:bookmarkStart w:id="24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5"/>
        </w:numPr>
      </w:pPr>
      <w:r>
        <w:t xml:space="preserve">C&amp;I revenue or bookings miss despite high expectations.</w:t>
      </w:r>
    </w:p>
    <w:p>
      <w:pPr>
        <w:pStyle w:val="Compact"/>
        <w:numPr>
          <w:ilvl w:val="0"/>
          <w:numId w:val="1015"/>
        </w:numPr>
      </w:pPr>
      <w:r>
        <w:t xml:space="preserve">Hyperscale qualification is delayed without a clear explanation.</w:t>
      </w:r>
    </w:p>
    <w:p>
      <w:pPr>
        <w:pStyle w:val="Compact"/>
        <w:numPr>
          <w:ilvl w:val="0"/>
          <w:numId w:val="1015"/>
        </w:numPr>
      </w:pPr>
      <w:r>
        <w:t xml:space="preserve">Backlog growth stalls or project timing moves into later years.</w:t>
      </w:r>
    </w:p>
    <w:p>
      <w:pPr>
        <w:pStyle w:val="Compact"/>
        <w:numPr>
          <w:ilvl w:val="0"/>
          <w:numId w:val="1015"/>
        </w:numPr>
      </w:pPr>
      <w:r>
        <w:t xml:space="preserve">Sussex ramp or component supply becomes constrained.</w:t>
      </w:r>
    </w:p>
    <w:p>
      <w:pPr>
        <w:pStyle w:val="Compact"/>
        <w:numPr>
          <w:ilvl w:val="0"/>
          <w:numId w:val="1015"/>
        </w:numPr>
      </w:pPr>
      <w:r>
        <w:t xml:space="preserve">Residential demand remains weak and management trims its second-half recovery assumptions.</w:t>
      </w:r>
    </w:p>
    <w:p>
      <w:pPr>
        <w:pStyle w:val="Compact"/>
        <w:numPr>
          <w:ilvl w:val="0"/>
          <w:numId w:val="1015"/>
        </w:numPr>
      </w:pPr>
      <w:r>
        <w:t xml:space="preserve">Gross margin falls due to unfavorable data-center mix, tariffs or ramp inefficiencies.</w:t>
      </w:r>
    </w:p>
    <w:p>
      <w:pPr>
        <w:pStyle w:val="Compact"/>
        <w:numPr>
          <w:ilvl w:val="0"/>
          <w:numId w:val="1015"/>
        </w:numPr>
      </w:pPr>
      <w:r>
        <w:t xml:space="preserve">Free-cash-flow guidance is reduced.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primarily a</w:t>
      </w:r>
      <w:r>
        <w:t xml:space="preserve"> </w:t>
      </w:r>
      <w:r>
        <w:rPr>
          <w:b/>
          <w:bCs/>
        </w:rPr>
        <w:t xml:space="preserve">data-center validation quarter</w:t>
      </w:r>
      <w:r>
        <w:t xml:space="preserve">, not a traditional weather-driven Generac report.</w:t>
      </w:r>
    </w:p>
    <w:p>
      <w:pPr>
        <w:pStyle w:val="BodyText"/>
      </w:pPr>
      <w:r>
        <w:t xml:space="preserve">The numerical bar—approximately</w:t>
      </w:r>
      <w:r>
        <w:t xml:space="preserve"> </w:t>
      </w:r>
      <w:r>
        <w:rPr>
          <w:b/>
          <w:bCs/>
        </w:rPr>
        <w:t xml:space="preserve">$1.178 billion of revenue, $1.99 of adjusted EPS and 38.6% gross margin</w:t>
      </w:r>
      <w:r>
        <w:t xml:space="preserve">—is important, but the larger drivers of the stock will be: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Formal hyperscale customer approval.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Backlog growth and 2027 visibility.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Capacity readiness and supply-chain security.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C&amp;I margin progression.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Confidence in the second-half Residential recovery.</w:t>
      </w:r>
    </w:p>
    <w:p>
      <w:pPr>
        <w:pStyle w:val="FirstParagraph"/>
      </w:pPr>
      <w:r>
        <w:t xml:space="preserve">The ideal report would show that Generac is not merely benefiting from temporary generator scarcity, but is becoming a structurally important, profitable supplier to the global data-center market while preserving the strong cash generation of its Residential franchise.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2026-07-29T00:55:29Z</dcterms:created>
  <dcterms:modified xsi:type="dcterms:W3CDTF">2026-07-29T00:55:29Z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