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nrc-earnings-predictions--2026-07-29"/>
    <w:p>
      <w:pPr>
        <w:pStyle w:val="Heading1"/>
      </w:pPr>
      <w:r>
        <w:t xml:space="preserve">GNRC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~$1.195B vs. cons $1.178B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 vs. cons $1.99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C&amp;I segment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~$518M vs. cons $500M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consolidated sales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~18.5% vs. cons 17.5%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C&amp;I sales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~29.0% vs. cons 27.0%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~19.0% vs. cons 19.0%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Data-center backlog / 2027 conversion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~$0.90B backlog vs. cons $0.80B (2H2026/2027)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+8.5%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+11.0% (FOLLOW-THROUGH)</w:t>
            </w:r>
          </w:p>
        </w:tc>
        <w:tc>
          <w:tcPr/>
          <w:p>
            <w:pPr>
              <w:pStyle w:val="Compact"/>
            </w:pPr>
            <w:r>
              <w:t xml:space="preserve">A sales/EPS beat plus higher C&amp;I and consolidated-growth framing should lift FY2026 and FY2027 revenue estimates; clearer ~</w:t>
            </w:r>
            <m:oMath>
              <m:r>
                <m:t>0.90</m:t>
              </m:r>
              <m:r>
                <m:t>B</m:t>
              </m:r>
              <m:r>
                <m:t>d</m:t>
              </m:r>
              <m:r>
                <m:t>a</m:t>
              </m:r>
              <m:r>
                <m:t>t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c</m:t>
              </m:r>
              <m:r>
                <m:t>e</m:t>
              </m:r>
              <m:r>
                <m:t>n</m:t>
              </m:r>
              <m:r>
                <m:t>t</m:t>
              </m:r>
              <m:r>
                <m:t>e</m:t>
              </m:r>
              <m:r>
                <m:t>r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l</m:t>
              </m:r>
              <m:r>
                <m:t>o</m:t>
              </m:r>
              <m:r>
                <m:t>g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0.80B expected supports out-period margin and capacity math rather than a one-quarter-only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2026-07-29T00:56:10Z</dcterms:created>
  <dcterms:modified xsi:type="dcterms:W3CDTF">2026-07-29T00:56:10Z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