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generac-gnrc--q2-2026-earnings-preview"/>
    <w:p>
      <w:pPr>
        <w:pStyle w:val="Heading1"/>
      </w:pPr>
      <w:r>
        <w:t xml:space="preserve">Generac (GNRC) — Q2 2026 Earnings Preview</w:t>
      </w:r>
    </w:p>
    <w:p>
      <w:pPr>
        <w:pStyle w:val="BlockText"/>
      </w:pPr>
      <w:r>
        <w:rPr>
          <w:b/>
          <w:bCs/>
        </w:rPr>
        <w:t xml:space="preserve">Date check:</w:t>
      </w:r>
      <w:r>
        <w:t xml:space="preserve"> </w:t>
      </w:r>
      <w:r>
        <w:t xml:space="preserve">July 29, 2026 is</w:t>
      </w:r>
      <w:r>
        <w:t xml:space="preserve"> </w:t>
      </w:r>
      <w:r>
        <w:rPr>
          <w:b/>
          <w:bCs/>
        </w:rPr>
        <w:t xml:space="preserve">today</w:t>
      </w:r>
      <w:r>
        <w:t xml:space="preserve">, not tomorrow. GNRC is scheduled to report Q2 results today, July 29, with the earnings call event also dated July 29. This preview reflects information available through the July 28 close.</w:t>
      </w:r>
    </w:p>
    <w:bookmarkStart w:id="9" w:name="Xf0037703a5f56c30cb2e883ca7c25d4f5cbdc1e"/>
    <w:p>
      <w:pPr>
        <w:pStyle w:val="Heading2"/>
      </w:pPr>
      <w:r>
        <w:t xml:space="preserve">Investment view: the report is about converting data-center enthusiasm into durable orders and guidance</w:t>
      </w:r>
    </w:p>
    <w:p>
      <w:pPr>
        <w:pStyle w:val="FirstParagraph"/>
      </w:pPr>
      <w:r>
        <w:t xml:space="preserve">Generac enters Q2 with a substantially different investor narrative than it had a year ago. The core debate is no longer simply residential standby-generator demand and weather-driven outage activity. Instead, investors are focused on whether Generac can become a meaningful supplier of large backup-power systems to hyperscale data centers—and whether the associated revenue, margin, capacity, and supply-chain opportunity is as durable as management suggests.</w:t>
      </w:r>
    </w:p>
    <w:p>
      <w:pPr>
        <w:pStyle w:val="BodyText"/>
      </w:pPr>
      <w:r>
        <w:t xml:space="preserve">The near-term setup appears demanding operationally but less euphoric in the share price: GNRC closed at</w:t>
      </w:r>
      <w:r>
        <w:t xml:space="preserve"> </w:t>
      </w:r>
      <w:r>
        <w:rPr>
          <w:b/>
          <w:bCs/>
        </w:rPr>
        <w:t xml:space="preserve">$195.63 on July 28</w:t>
      </w:r>
      <w:r>
        <w:t xml:space="preserve">, down about</w:t>
      </w:r>
      <w:r>
        <w:t xml:space="preserve"> </w:t>
      </w:r>
      <w:r>
        <w:rPr>
          <w:b/>
          <w:bCs/>
        </w:rPr>
        <w:t xml:space="preserve">33% from its June 30 closing level of $292.81</w:t>
      </w:r>
      <w:r>
        <w:t xml:space="preserve"> </w:t>
      </w:r>
      <w:r>
        <w:t xml:space="preserve">and roughly</w:t>
      </w:r>
      <w:r>
        <w:t xml:space="preserve"> </w:t>
      </w:r>
      <w:r>
        <w:rPr>
          <w:b/>
          <w:bCs/>
        </w:rPr>
        <w:t xml:space="preserve">10% below its April 28 pre-Q1-report close</w:t>
      </w:r>
      <w:r>
        <w:t xml:space="preserve">. The pullback may lower the bar somewhat, but the stock will likely still trade on the credibility of management’s 2027+ data-center outlook rather than on a modest Q2 EPS beat or miss.</w:t>
      </w:r>
    </w:p>
    <w:bookmarkEnd w:id="9"/>
    <w:bookmarkStart w:id="10" w:name="what-the-street-expects"/>
    <w:p>
      <w:pPr>
        <w:pStyle w:val="Heading2"/>
      </w:pPr>
      <w:r>
        <w:t xml:space="preserve">What the Street expects</w:t>
      </w:r>
    </w:p>
    <w:p>
      <w:pPr>
        <w:pStyle w:val="FirstParagraph"/>
      </w:pPr>
      <w:r>
        <w:t xml:space="preserve">Current expectations call for a meaningful year-over-year step-up: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2026 consensus</w:t>
            </w:r>
          </w:p>
        </w:tc>
        <w:tc>
          <w:tcPr/>
          <w:p>
            <w:pPr>
              <w:pStyle w:val="Compact"/>
              <w:jc w:val="right"/>
            </w:pPr>
            <w:r>
              <w:t xml:space="preserve">Q2 2025 actual</w:t>
            </w:r>
          </w:p>
        </w:tc>
        <w:tc>
          <w:tcPr/>
          <w:p>
            <w:pPr>
              <w:pStyle w:val="Compact"/>
              <w:jc w:val="right"/>
            </w:pPr>
            <w:r>
              <w:t xml:space="preserve">Implied YoY change</w:t>
            </w:r>
          </w:p>
        </w:tc>
      </w:tr>
      <w:tr>
        <w:tc>
          <w:tcPr/>
          <w:p>
            <w:pPr>
              <w:pStyle w:val="Compact"/>
            </w:pPr>
            <w:r>
              <w:t xml:space="preserve">Revenue:</w:t>
            </w:r>
            <w:r>
              <w:t xml:space="preserve"> </w:t>
            </w:r>
            <w:r>
              <w:rPr>
                <w:b/>
                <w:bCs/>
              </w:rPr>
              <w:t xml:space="preserve">$1.178B</w:t>
            </w:r>
          </w:p>
        </w:tc>
        <w:tc>
          <w:tcPr/>
          <w:p>
            <w:pPr>
              <w:pStyle w:val="Compact"/>
              <w:jc w:val="right"/>
            </w:pPr>
            <w:r>
              <w:t xml:space="preserve">$1.061B</w:t>
            </w:r>
          </w:p>
        </w:tc>
        <w:tc>
          <w:tcPr/>
          <w:p>
            <w:pPr>
              <w:pStyle w:val="Compact"/>
              <w:jc w:val="right"/>
            </w:pPr>
            <w:r>
              <w:rPr>
                <w:b/>
                <w:bCs/>
              </w:rPr>
              <w:t xml:space="preserve">~11%</w:t>
            </w:r>
          </w:p>
        </w:tc>
      </w:tr>
      <w:tr>
        <w:tc>
          <w:tcPr/>
          <w:p>
            <w:pPr>
              <w:pStyle w:val="Compact"/>
            </w:pPr>
            <w:r>
              <w:t xml:space="preserve">Adjusted EPS:</w:t>
            </w:r>
            <w:r>
              <w:t xml:space="preserve"> </w:t>
            </w:r>
            <w:r>
              <w:rPr>
                <w:b/>
                <w:bCs/>
              </w:rPr>
              <w:t xml:space="preserve">$1.99</w:t>
            </w:r>
          </w:p>
        </w:tc>
        <w:tc>
          <w:tcPr/>
          <w:p>
            <w:pPr>
              <w:pStyle w:val="Compact"/>
              <w:jc w:val="right"/>
            </w:pPr>
            <w:r>
              <w:t xml:space="preserve">$1.65</w:t>
            </w:r>
          </w:p>
        </w:tc>
        <w:tc>
          <w:tcPr/>
          <w:p>
            <w:pPr>
              <w:pStyle w:val="Compact"/>
              <w:jc w:val="right"/>
            </w:pPr>
            <w:r>
              <w:rPr>
                <w:b/>
                <w:bCs/>
              </w:rPr>
              <w:t xml:space="preserve">~21%</w:t>
            </w:r>
          </w:p>
        </w:tc>
      </w:tr>
      <w:tr>
        <w:tc>
          <w:tcPr/>
          <w:p>
            <w:pPr>
              <w:pStyle w:val="Compact"/>
            </w:pPr>
            <w:r>
              <w:t xml:space="preserve">Gross margin:</w:t>
            </w:r>
            <w:r>
              <w:t xml:space="preserve"> </w:t>
            </w:r>
            <w:r>
              <w:rPr>
                <w:b/>
                <w:bCs/>
              </w:rPr>
              <w:t xml:space="preserve">38.6%</w:t>
            </w:r>
          </w:p>
        </w:tc>
        <w:tc>
          <w:tcPr/>
          <w:p>
            <w:pPr>
              <w:pStyle w:val="Compact"/>
              <w:jc w:val="right"/>
            </w:pPr>
            <w:r>
              <w:t xml:space="preserve">39.3%</w:t>
            </w:r>
          </w:p>
        </w:tc>
        <w:tc>
          <w:tcPr/>
          <w:p>
            <w:pPr>
              <w:pStyle w:val="Compact"/>
              <w:jc w:val="right"/>
            </w:pPr>
            <w:r>
              <w:rPr>
                <w:b/>
                <w:bCs/>
              </w:rPr>
              <w:t xml:space="preserve">-70 bps</w:t>
            </w:r>
          </w:p>
        </w:tc>
      </w:tr>
      <w:tr>
        <w:tc>
          <w:tcPr/>
          <w:p>
            <w:pPr>
              <w:pStyle w:val="Compact"/>
            </w:pPr>
            <w:r>
              <w:t xml:space="preserve">Residential sales:</w:t>
            </w:r>
            <w:r>
              <w:t xml:space="preserve"> </w:t>
            </w:r>
            <w:r>
              <w:rPr>
                <w:b/>
                <w:bCs/>
              </w:rPr>
              <w:t xml:space="preserve">$623M</w:t>
            </w:r>
          </w:p>
        </w:tc>
        <w:tc>
          <w:tcPr/>
          <w:p>
            <w:pPr>
              <w:pStyle w:val="Compact"/>
              <w:jc w:val="right"/>
            </w:pPr>
            <w:r>
              <w:t xml:space="preserve">$574M</w:t>
            </w:r>
          </w:p>
        </w:tc>
        <w:tc>
          <w:tcPr/>
          <w:p>
            <w:pPr>
              <w:pStyle w:val="Compact"/>
              <w:jc w:val="right"/>
            </w:pPr>
            <w:r>
              <w:rPr>
                <w:b/>
                <w:bCs/>
              </w:rPr>
              <w:t xml:space="preserve">~9%</w:t>
            </w:r>
          </w:p>
        </w:tc>
      </w:tr>
      <w:tr>
        <w:tc>
          <w:tcPr/>
          <w:p>
            <w:pPr>
              <w:pStyle w:val="Compact"/>
            </w:pPr>
            <w:r>
              <w:t xml:space="preserve">C&amp;I sales:</w:t>
            </w:r>
            <w:r>
              <w:t xml:space="preserve"> </w:t>
            </w:r>
            <w:r>
              <w:rPr>
                <w:b/>
                <w:bCs/>
              </w:rPr>
              <w:t xml:space="preserve">$500M</w:t>
            </w:r>
          </w:p>
        </w:tc>
        <w:tc>
          <w:tcPr/>
          <w:p>
            <w:pPr>
              <w:pStyle w:val="Compact"/>
              <w:jc w:val="right"/>
            </w:pPr>
            <w:r>
              <w:t xml:space="preserve">$362M</w:t>
            </w:r>
          </w:p>
        </w:tc>
        <w:tc>
          <w:tcPr/>
          <w:p>
            <w:pPr>
              <w:pStyle w:val="Compact"/>
              <w:jc w:val="right"/>
            </w:pPr>
            <w:r>
              <w:rPr>
                <w:b/>
                <w:bCs/>
              </w:rPr>
              <w:t xml:space="preserve">~38%</w:t>
            </w:r>
          </w:p>
        </w:tc>
      </w:tr>
    </w:tbl>
    <w:p>
      <w:pPr>
        <w:pStyle w:val="BodyText"/>
      </w:pPr>
      <w:r>
        <w:t xml:space="preserve">The key modeling nuance is that management’s prior outlook called for</w:t>
      </w:r>
      <w:r>
        <w:t xml:space="preserve"> </w:t>
      </w:r>
      <w:r>
        <w:rPr>
          <w:b/>
          <w:bCs/>
        </w:rPr>
        <w:t xml:space="preserve">Q2 consolidated sales growth of roughly 9%–10%</w:t>
      </w:r>
      <w:r>
        <w:t xml:space="preserve">, driven entirely by C&amp;I. Consensus revenue growth of roughly 11% therefore implies a modest beat versus the company’s own Q2 cadence—not an enormous one. The larger hurdle is likely the quality and durability of forward commentary.</w:t>
      </w:r>
    </w:p>
    <w:bookmarkEnd w:id="10"/>
    <w:bookmarkStart w:id="11" w:name="the-central-issue-data-center-execution"/>
    <w:p>
      <w:pPr>
        <w:pStyle w:val="Heading2"/>
      </w:pPr>
      <w:r>
        <w:t xml:space="preserve">The central issue: data-center execution</w:t>
      </w:r>
    </w:p>
    <w:p>
      <w:pPr>
        <w:pStyle w:val="FirstParagraph"/>
      </w:pPr>
      <w:r>
        <w:t xml:space="preserve">At Q1, Generac reported C&amp;I sales growth of 28%, driven by data-center revenue, rental, telecom, Allmand, and foreign exchange. More importantly, management disclosed:</w:t>
      </w:r>
    </w:p>
    <w:p>
      <w:pPr>
        <w:pStyle w:val="Compact"/>
        <w:numPr>
          <w:ilvl w:val="0"/>
          <w:numId w:val="1001"/>
        </w:numPr>
      </w:pPr>
      <w:r>
        <w:t xml:space="preserve">More than</w:t>
      </w:r>
      <w:r>
        <w:t xml:space="preserve"> </w:t>
      </w:r>
      <w:r>
        <w:rPr>
          <w:b/>
          <w:bCs/>
        </w:rPr>
        <w:t xml:space="preserve">$700 million of data-center backlog</w:t>
      </w:r>
      <w:r>
        <w:t xml:space="preserve">, up about $300 million from the prior update.</w:t>
      </w:r>
    </w:p>
    <w:p>
      <w:pPr>
        <w:pStyle w:val="Compact"/>
        <w:numPr>
          <w:ilvl w:val="0"/>
          <w:numId w:val="1001"/>
        </w:numPr>
      </w:pPr>
      <w:r>
        <w:t xml:space="preserve">A</w:t>
      </w:r>
      <w:r>
        <w:t xml:space="preserve"> </w:t>
      </w:r>
      <w:r>
        <w:rPr>
          <w:b/>
          <w:bCs/>
        </w:rPr>
        <w:t xml:space="preserve">non-binding notice to proceed for roughly $600 million of 2027 deliveries</w:t>
      </w:r>
      <w:r>
        <w:t xml:space="preserve"> </w:t>
      </w:r>
      <w:r>
        <w:t xml:space="preserve">from a hyperscale customer.</w:t>
      </w:r>
    </w:p>
    <w:p>
      <w:pPr>
        <w:pStyle w:val="Compact"/>
        <w:numPr>
          <w:ilvl w:val="0"/>
          <w:numId w:val="1001"/>
        </w:numPr>
      </w:pPr>
      <w:r>
        <w:t xml:space="preserve">Final-stage vendor approval processes with</w:t>
      </w:r>
      <w:r>
        <w:t xml:space="preserve"> </w:t>
      </w:r>
      <w:r>
        <w:rPr>
          <w:b/>
          <w:bCs/>
        </w:rPr>
        <w:t xml:space="preserve">two hyperscale customers</w:t>
      </w:r>
      <w:r>
        <w:t xml:space="preserve">.</w:t>
      </w:r>
    </w:p>
    <w:p>
      <w:pPr>
        <w:pStyle w:val="Compact"/>
        <w:numPr>
          <w:ilvl w:val="0"/>
          <w:numId w:val="1001"/>
        </w:numPr>
      </w:pPr>
      <w:r>
        <w:t xml:space="preserve">Plans for its Sussex, Wisconsin facility to begin production in the second half of 2026, taking domestic large-generator capacity above</w:t>
      </w:r>
      <w:r>
        <w:t xml:space="preserve"> </w:t>
      </w:r>
      <w:r>
        <w:rPr>
          <w:b/>
          <w:bCs/>
        </w:rPr>
        <w:t xml:space="preserve">$1 billion by Q4</w:t>
      </w:r>
      <w:r>
        <w:t xml:space="preserve">.</w:t>
      </w:r>
    </w:p>
    <w:p>
      <w:pPr>
        <w:pStyle w:val="Compact"/>
        <w:numPr>
          <w:ilvl w:val="0"/>
          <w:numId w:val="1001"/>
        </w:numPr>
      </w:pPr>
      <w:r>
        <w:t xml:space="preserve">The April acquisition of</w:t>
      </w:r>
      <w:r>
        <w:t xml:space="preserve"> </w:t>
      </w:r>
      <w:r>
        <w:rPr>
          <w:b/>
          <w:bCs/>
        </w:rPr>
        <w:t xml:space="preserve">Enercon</w:t>
      </w:r>
      <w:r>
        <w:t xml:space="preserve">, which adds generator-enclosure and switchgear capability, improves vertical integration, and is expected to be margin accretive.</w:t>
      </w:r>
    </w:p>
    <w:p>
      <w:pPr>
        <w:pStyle w:val="FirstParagraph"/>
      </w:pPr>
      <w:r>
        <w:t xml:space="preserve">For investors, the most important Q2 questions are therefore:</w:t>
      </w:r>
    </w:p>
    <w:p>
      <w:pPr>
        <w:pStyle w:val="Compact"/>
        <w:numPr>
          <w:ilvl w:val="0"/>
          <w:numId w:val="1002"/>
        </w:numPr>
      </w:pPr>
      <w:r>
        <w:rPr>
          <w:b/>
          <w:bCs/>
        </w:rPr>
        <w:t xml:space="preserve">Has either hyperscale relationship converted from approval-stage discussions to a signed master supply agreement, purchase order, or other firm commitment?</w:t>
      </w:r>
    </w:p>
    <w:p>
      <w:pPr>
        <w:pStyle w:val="Compact"/>
        <w:numPr>
          <w:ilvl w:val="0"/>
          <w:numId w:val="1002"/>
        </w:numPr>
      </w:pPr>
      <w:r>
        <w:rPr>
          <w:b/>
          <w:bCs/>
        </w:rPr>
        <w:t xml:space="preserve">Has data-center backlog grown further—and what portion is funded, contracted, or scheduled for 2026 versus 2027?</w:t>
      </w:r>
    </w:p>
    <w:p>
      <w:pPr>
        <w:pStyle w:val="Compact"/>
        <w:numPr>
          <w:ilvl w:val="0"/>
          <w:numId w:val="1002"/>
        </w:numPr>
      </w:pPr>
      <w:r>
        <w:rPr>
          <w:b/>
          <w:bCs/>
        </w:rPr>
        <w:t xml:space="preserve">Is Sussex production beginning on time, and does Generac need incremental capacity earlier than expected?</w:t>
      </w:r>
    </w:p>
    <w:p>
      <w:pPr>
        <w:pStyle w:val="Compact"/>
        <w:numPr>
          <w:ilvl w:val="0"/>
          <w:numId w:val="1002"/>
        </w:numPr>
      </w:pPr>
      <w:r>
        <w:rPr>
          <w:b/>
          <w:bCs/>
        </w:rPr>
        <w:t xml:space="preserve">Are engine, alternator, cooling, enclosure, and switchgear supply arrangements sufficient to support the growth plan?</w:t>
      </w:r>
    </w:p>
    <w:p>
      <w:pPr>
        <w:pStyle w:val="Compact"/>
        <w:numPr>
          <w:ilvl w:val="0"/>
          <w:numId w:val="1002"/>
        </w:numPr>
      </w:pPr>
      <w:r>
        <w:rPr>
          <w:b/>
          <w:bCs/>
        </w:rPr>
        <w:t xml:space="preserve">Does Enercon integration reinforce the expected margin trajectory, or is there near-term integration friction?</w:t>
      </w:r>
    </w:p>
    <w:p>
      <w:pPr>
        <w:pStyle w:val="FirstParagraph"/>
      </w:pPr>
      <w:r>
        <w:t xml:space="preserve">A confirmation of the large 2027 opportunity—or clearer visibility on the second hyperscale customer—would likely matter more than a few cents of EPS upside. Conversely, any slippage in customer approvals, supply-chain readiness, capacity timing, permitting, or order conversion could challenge the market’s longer-duration growth assumptions.</w:t>
      </w:r>
    </w:p>
    <w:bookmarkEnd w:id="11"/>
    <w:bookmarkStart w:id="14" w:name="X72d48059384d83449575f9b03658300fd613026"/>
    <w:p>
      <w:pPr>
        <w:pStyle w:val="Heading2"/>
      </w:pPr>
      <w:r>
        <w:t xml:space="preserve">Guidance is likely the primary stock-moving item</w:t>
      </w:r>
    </w:p>
    <w:p>
      <w:pPr>
        <w:pStyle w:val="FirstParagraph"/>
      </w:pPr>
      <w:r>
        <w:t xml:space="preserve">Following a strong Q1, Generac raised full-year 2026 guidance to:</w:t>
      </w:r>
    </w:p>
    <w:p>
      <w:pPr>
        <w:pStyle w:val="Compact"/>
        <w:numPr>
          <w:ilvl w:val="0"/>
          <w:numId w:val="1003"/>
        </w:numPr>
      </w:pPr>
      <w:r>
        <w:rPr>
          <w:b/>
          <w:bCs/>
        </w:rPr>
        <w:t xml:space="preserve">Total sales growth:</w:t>
      </w:r>
      <w:r>
        <w:t xml:space="preserve"> </w:t>
      </w:r>
      <w:r>
        <w:t xml:space="preserve">mid-to-high teens</w:t>
      </w:r>
    </w:p>
    <w:p>
      <w:pPr>
        <w:pStyle w:val="Compact"/>
        <w:numPr>
          <w:ilvl w:val="0"/>
          <w:numId w:val="1003"/>
        </w:numPr>
      </w:pPr>
      <w:r>
        <w:rPr>
          <w:b/>
          <w:bCs/>
        </w:rPr>
        <w:t xml:space="preserve">C&amp;I sales growth:</w:t>
      </w:r>
      <w:r>
        <w:t xml:space="preserve"> </w:t>
      </w:r>
      <w:r>
        <w:t xml:space="preserve">mid-to-high 20% range</w:t>
      </w:r>
    </w:p>
    <w:p>
      <w:pPr>
        <w:pStyle w:val="Compact"/>
        <w:numPr>
          <w:ilvl w:val="0"/>
          <w:numId w:val="1003"/>
        </w:numPr>
      </w:pPr>
      <w:r>
        <w:rPr>
          <w:b/>
          <w:bCs/>
        </w:rPr>
        <w:t xml:space="preserve">Residential sales growth:</w:t>
      </w:r>
      <w:r>
        <w:t xml:space="preserve"> </w:t>
      </w:r>
      <w:r>
        <w:t xml:space="preserve">approximately 10%</w:t>
      </w:r>
    </w:p>
    <w:p>
      <w:pPr>
        <w:pStyle w:val="Compact"/>
        <w:numPr>
          <w:ilvl w:val="0"/>
          <w:numId w:val="1003"/>
        </w:numPr>
      </w:pPr>
      <w:r>
        <w:rPr>
          <w:b/>
          <w:bCs/>
        </w:rPr>
        <w:t xml:space="preserve">Adjusted EBITDA margin:</w:t>
      </w:r>
      <w:r>
        <w:t xml:space="preserve"> </w:t>
      </w:r>
      <w:r>
        <w:t xml:space="preserve">18.5%–19.5%</w:t>
      </w:r>
    </w:p>
    <w:p>
      <w:pPr>
        <w:pStyle w:val="Compact"/>
        <w:numPr>
          <w:ilvl w:val="0"/>
          <w:numId w:val="1003"/>
        </w:numPr>
      </w:pPr>
      <w:r>
        <w:rPr>
          <w:b/>
          <w:bCs/>
        </w:rPr>
        <w:t xml:space="preserve">Free cash flow:</w:t>
      </w:r>
      <w:r>
        <w:t xml:space="preserve"> </w:t>
      </w:r>
      <w:r>
        <w:t xml:space="preserve">approximately $350 million</w:t>
      </w:r>
    </w:p>
    <w:p>
      <w:pPr>
        <w:pStyle w:val="FirstParagraph"/>
      </w:pPr>
      <w:r>
        <w:t xml:space="preserve">Management also indicated that sales should be weighted roughly</w:t>
      </w:r>
      <w:r>
        <w:t xml:space="preserve"> </w:t>
      </w:r>
      <w:r>
        <w:rPr>
          <w:b/>
          <w:bCs/>
        </w:rPr>
        <w:t xml:space="preserve">45% in the first half and 55% in the second half</w:t>
      </w:r>
      <w:r>
        <w:t xml:space="preserve">, with adjusted EBITDA margins expected to improve from the 18% range in Q2 toward approximately</w:t>
      </w:r>
      <w:r>
        <w:t xml:space="preserve"> </w:t>
      </w:r>
      <w:r>
        <w:rPr>
          <w:b/>
          <w:bCs/>
        </w:rPr>
        <w:t xml:space="preserve">20% in Q4</w:t>
      </w:r>
      <w:r>
        <w:t xml:space="preserve">.</w:t>
      </w:r>
    </w:p>
    <w:p>
      <w:pPr>
        <w:pStyle w:val="BodyText"/>
      </w:pPr>
      <w:r>
        <w:t xml:space="preserve">That framing creates a clear read-through:</w:t>
      </w:r>
    </w:p>
    <w:bookmarkStart w:id="12" w:name="a-constructive-outcome"/>
    <w:p>
      <w:pPr>
        <w:pStyle w:val="Heading3"/>
      </w:pPr>
      <w:r>
        <w:t xml:space="preserve">A constructive outcome</w:t>
      </w:r>
    </w:p>
    <w:p>
      <w:pPr>
        <w:pStyle w:val="Compact"/>
        <w:numPr>
          <w:ilvl w:val="0"/>
          <w:numId w:val="1004"/>
        </w:numPr>
      </w:pPr>
      <w:r>
        <w:t xml:space="preserve">Full-year sales and EBITDA-margin guidance is reaffirmed or raised.</w:t>
      </w:r>
    </w:p>
    <w:p>
      <w:pPr>
        <w:pStyle w:val="Compact"/>
        <w:numPr>
          <w:ilvl w:val="0"/>
          <w:numId w:val="1004"/>
        </w:numPr>
      </w:pPr>
      <w:r>
        <w:t xml:space="preserve">Management increases confidence in second-half data-center deliveries.</w:t>
      </w:r>
    </w:p>
    <w:p>
      <w:pPr>
        <w:pStyle w:val="Compact"/>
        <w:numPr>
          <w:ilvl w:val="0"/>
          <w:numId w:val="1004"/>
        </w:numPr>
      </w:pPr>
      <w:r>
        <w:t xml:space="preserve">C&amp;I growth expectations move higher again, particularly on organic demand rather than M&amp;A or FX.</w:t>
      </w:r>
    </w:p>
    <w:p>
      <w:pPr>
        <w:pStyle w:val="Compact"/>
        <w:numPr>
          <w:ilvl w:val="0"/>
          <w:numId w:val="1004"/>
        </w:numPr>
      </w:pPr>
      <w:r>
        <w:t xml:space="preserve">Commentary supports continued margin expansion from operating leverage and Enercon.</w:t>
      </w:r>
    </w:p>
    <w:p>
      <w:pPr>
        <w:pStyle w:val="Compact"/>
        <w:numPr>
          <w:ilvl w:val="0"/>
          <w:numId w:val="1004"/>
        </w:numPr>
      </w:pPr>
      <w:r>
        <w:t xml:space="preserve">Residential expectations remain intact without needing an outsized weather event.</w:t>
      </w:r>
    </w:p>
    <w:bookmarkEnd w:id="12"/>
    <w:bookmarkStart w:id="13" w:name="a-disappointing-outcome"/>
    <w:p>
      <w:pPr>
        <w:pStyle w:val="Heading3"/>
      </w:pPr>
      <w:r>
        <w:t xml:space="preserve">A disappointing outcome</w:t>
      </w:r>
    </w:p>
    <w:p>
      <w:pPr>
        <w:pStyle w:val="Compact"/>
        <w:numPr>
          <w:ilvl w:val="0"/>
          <w:numId w:val="1005"/>
        </w:numPr>
      </w:pPr>
      <w:r>
        <w:t xml:space="preserve">Guidance is unchanged but management sounds less confident in the second-half ramp.</w:t>
      </w:r>
    </w:p>
    <w:p>
      <w:pPr>
        <w:pStyle w:val="Compact"/>
        <w:numPr>
          <w:ilvl w:val="0"/>
          <w:numId w:val="1005"/>
        </w:numPr>
      </w:pPr>
      <w:r>
        <w:t xml:space="preserve">Data-center backlog growth decelerates, customer approvals take longer, or capacity needs exceed current plans.</w:t>
      </w:r>
    </w:p>
    <w:p>
      <w:pPr>
        <w:pStyle w:val="Compact"/>
        <w:numPr>
          <w:ilvl w:val="0"/>
          <w:numId w:val="1005"/>
        </w:numPr>
      </w:pPr>
      <w:r>
        <w:t xml:space="preserve">Tariffs, input costs, or mix pressure cause gross-margin expectations to weaken.</w:t>
      </w:r>
    </w:p>
    <w:p>
      <w:pPr>
        <w:pStyle w:val="Compact"/>
        <w:numPr>
          <w:ilvl w:val="0"/>
          <w:numId w:val="1005"/>
        </w:numPr>
      </w:pPr>
      <w:r>
        <w:t xml:space="preserve">Residential demand fails to show the anticipated recovery, leaving more of the full-year plan dependent on C&amp;I.</w:t>
      </w:r>
    </w:p>
    <w:bookmarkEnd w:id="13"/>
    <w:bookmarkEnd w:id="14"/>
    <w:bookmarkStart w:id="15" w:name="X05a5b3b82ce3c1c8bf9494ea22f1cdd3537eeb4"/>
    <w:p>
      <w:pPr>
        <w:pStyle w:val="Heading2"/>
      </w:pPr>
      <w:r>
        <w:t xml:space="preserve">Residential: a supporting growth lever, but weather remains a swing factor</w:t>
      </w:r>
    </w:p>
    <w:p>
      <w:pPr>
        <w:pStyle w:val="FirstParagraph"/>
      </w:pPr>
      <w:r>
        <w:t xml:space="preserve">Residential is no longer the primary strategic catalyst, but it remains important to earnings quality and cash generation. In Q1, residential sales grew only 1%, while segment adjusted EBITDA margin expanded sharply to 25.1% from 20.3%, helped by pricing and operating-expense discipline under the new</w:t>
      </w:r>
      <w:r>
        <w:t xml:space="preserve"> </w:t>
      </w:r>
      <w:r>
        <w:rPr>
          <w:b/>
          <w:bCs/>
        </w:rPr>
        <w:t xml:space="preserve">Generac Home</w:t>
      </w:r>
      <w:r>
        <w:t xml:space="preserve"> </w:t>
      </w:r>
      <w:r>
        <w:t xml:space="preserve">structure.</w:t>
      </w:r>
    </w:p>
    <w:p>
      <w:pPr>
        <w:pStyle w:val="BodyText"/>
      </w:pPr>
      <w:r>
        <w:t xml:space="preserve">Management expects residential growth to accelerate in the second half because:</w:t>
      </w:r>
    </w:p>
    <w:p>
      <w:pPr>
        <w:pStyle w:val="Compact"/>
        <w:numPr>
          <w:ilvl w:val="0"/>
          <w:numId w:val="1006"/>
        </w:numPr>
      </w:pPr>
      <w:r>
        <w:t xml:space="preserve">The second-half 2025 comparison was unusually soft from below-normal outage activity.</w:t>
      </w:r>
    </w:p>
    <w:p>
      <w:pPr>
        <w:pStyle w:val="Compact"/>
        <w:numPr>
          <w:ilvl w:val="0"/>
          <w:numId w:val="1006"/>
        </w:numPr>
      </w:pPr>
      <w:r>
        <w:t xml:space="preserve">Home standby generator growth should benefit from easier comparisons and price.</w:t>
      </w:r>
    </w:p>
    <w:p>
      <w:pPr>
        <w:pStyle w:val="Compact"/>
        <w:numPr>
          <w:ilvl w:val="0"/>
          <w:numId w:val="1006"/>
        </w:numPr>
      </w:pPr>
      <w:r>
        <w:t xml:space="preserve">The company expects a return toward normal baseline outage conditions.</w:t>
      </w:r>
    </w:p>
    <w:p>
      <w:pPr>
        <w:pStyle w:val="Compact"/>
        <w:numPr>
          <w:ilvl w:val="0"/>
          <w:numId w:val="1006"/>
        </w:numPr>
      </w:pPr>
      <w:r>
        <w:t xml:space="preserve">Dealer count exceeded 9,500 at Q1, supporting distribution capacity.</w:t>
      </w:r>
    </w:p>
    <w:p>
      <w:pPr>
        <w:pStyle w:val="Compact"/>
        <w:numPr>
          <w:ilvl w:val="0"/>
          <w:numId w:val="1006"/>
        </w:numPr>
      </w:pPr>
      <w:r>
        <w:t xml:space="preserve">ecobee is scaling as a higher-margin recurring-revenue opportunity.</w:t>
      </w:r>
    </w:p>
    <w:p>
      <w:pPr>
        <w:pStyle w:val="Compact"/>
        <w:numPr>
          <w:ilvl w:val="0"/>
          <w:numId w:val="1006"/>
        </w:numPr>
      </w:pPr>
      <w:r>
        <w:t xml:space="preserve">PWRmicro shipments are expected to ramp in the second half.</w:t>
      </w:r>
    </w:p>
    <w:p>
      <w:pPr>
        <w:pStyle w:val="FirstParagraph"/>
      </w:pPr>
      <w:r>
        <w:t xml:space="preserve">The risk is straightforward: Generac’s residential standby business remains influenced by outage activity, consumer demand, financing conditions, and dealer conversion. Q2 needs to show that the company’s full-year residential outlook is not reliant solely on weather normalization later in the year.</w:t>
      </w:r>
    </w:p>
    <w:bookmarkEnd w:id="15"/>
    <w:bookmarkStart w:id="16" w:name="X2f686fc1eac3733211ce7f931dfa7823339ab09"/>
    <w:p>
      <w:pPr>
        <w:pStyle w:val="Heading2"/>
      </w:pPr>
      <w:r>
        <w:t xml:space="preserve">Margins: mix pressure versus operating leverage</w:t>
      </w:r>
    </w:p>
    <w:p>
      <w:pPr>
        <w:pStyle w:val="FirstParagraph"/>
      </w:pPr>
      <w:r>
        <w:t xml:space="preserve">Gross margin is expected to remain below the 39%-plus level posted in Q2 2025 because C&amp;I/data-center products carry a different mix profile than residential standby products. But the more important earnings measure is adjusted EBITDA margin.</w:t>
      </w:r>
    </w:p>
    <w:p>
      <w:pPr>
        <w:pStyle w:val="BodyText"/>
      </w:pPr>
      <w:r>
        <w:t xml:space="preserve">Management’s Q1 message was that higher C&amp;I volume, better price/cost realization, reduced clean-energy spending, and acquisition benefits can more than offset mix pressure. Enercon is particularly important because it gives Generac more control over the packaging portion of large-generator systems and should improve profitability in data-center deployments.</w:t>
      </w:r>
    </w:p>
    <w:p>
      <w:pPr>
        <w:pStyle w:val="BodyText"/>
      </w:pPr>
      <w:r>
        <w:t xml:space="preserve">Investors should watch for:</w:t>
      </w:r>
    </w:p>
    <w:p>
      <w:pPr>
        <w:pStyle w:val="Compact"/>
        <w:numPr>
          <w:ilvl w:val="0"/>
          <w:numId w:val="1007"/>
        </w:numPr>
      </w:pPr>
      <w:r>
        <w:t xml:space="preserve">Consolidated gross margin versus the 38.6% consensus expectation.</w:t>
      </w:r>
    </w:p>
    <w:p>
      <w:pPr>
        <w:pStyle w:val="Compact"/>
        <w:numPr>
          <w:ilvl w:val="0"/>
          <w:numId w:val="1007"/>
        </w:numPr>
      </w:pPr>
      <w:r>
        <w:t xml:space="preserve">C&amp;I margin progression and Enercon’s early contribution.</w:t>
      </w:r>
    </w:p>
    <w:p>
      <w:pPr>
        <w:pStyle w:val="Compact"/>
        <w:numPr>
          <w:ilvl w:val="0"/>
          <w:numId w:val="1007"/>
        </w:numPr>
      </w:pPr>
      <w:r>
        <w:t xml:space="preserve">Residential margin sustainability after an exceptionally strong Q1.</w:t>
      </w:r>
    </w:p>
    <w:p>
      <w:pPr>
        <w:pStyle w:val="Compact"/>
        <w:numPr>
          <w:ilvl w:val="0"/>
          <w:numId w:val="1007"/>
        </w:numPr>
      </w:pPr>
      <w:r>
        <w:t xml:space="preserve">Incremental pricing, tariff recovery, and commodity-cost commentary.</w:t>
      </w:r>
    </w:p>
    <w:p>
      <w:pPr>
        <w:pStyle w:val="Compact"/>
        <w:numPr>
          <w:ilvl w:val="0"/>
          <w:numId w:val="1007"/>
        </w:numPr>
      </w:pPr>
      <w:r>
        <w:t xml:space="preserve">Whether management maintains its expectation for roughly 20% adjusted EBITDA margin in Q4.</w:t>
      </w:r>
    </w:p>
    <w:bookmarkEnd w:id="16"/>
    <w:bookmarkStart w:id="17" w:name="Xd547c87cd8f634b930b7a7198829caf0406bee6"/>
    <w:p>
      <w:pPr>
        <w:pStyle w:val="Heading2"/>
      </w:pPr>
      <w:r>
        <w:t xml:space="preserve">Cash flow and balance sheet: sufficient flexibility, but growth investment will rise</w:t>
      </w:r>
    </w:p>
    <w:p>
      <w:pPr>
        <w:pStyle w:val="FirstParagraph"/>
      </w:pPr>
      <w:r>
        <w:t xml:space="preserve">Generac generated $90 million of free cash flow in Q1 and guided to roughly $350 million for 2026. It ended Q1 with approximately $1.32 billion of total debt and a reported gross leverage ratio of 1.7x—within its stated 1x–2x target range.</w:t>
      </w:r>
    </w:p>
    <w:p>
      <w:pPr>
        <w:pStyle w:val="BodyText"/>
      </w:pPr>
      <w:r>
        <w:t xml:space="preserve">That balance-sheet position appears adequate for planned capacity investment and bolt-on M&amp;A, but the data-center opportunity could require faster and larger capacity additions than initially anticipated. Management has already suggested that winning both hyperscale accounts could require capacity beyond its current plans. Investors should therefore listen for the trade-off among:</w:t>
      </w:r>
    </w:p>
    <w:p>
      <w:pPr>
        <w:pStyle w:val="Compact"/>
        <w:numPr>
          <w:ilvl w:val="0"/>
          <w:numId w:val="1008"/>
        </w:numPr>
      </w:pPr>
      <w:r>
        <w:t xml:space="preserve">Capex for generator and packaging capacity,</w:t>
      </w:r>
    </w:p>
    <w:p>
      <w:pPr>
        <w:pStyle w:val="Compact"/>
        <w:numPr>
          <w:ilvl w:val="0"/>
          <w:numId w:val="1008"/>
        </w:numPr>
      </w:pPr>
      <w:r>
        <w:t xml:space="preserve">potential acquisitions,</w:t>
      </w:r>
    </w:p>
    <w:p>
      <w:pPr>
        <w:pStyle w:val="Compact"/>
        <w:numPr>
          <w:ilvl w:val="0"/>
          <w:numId w:val="1008"/>
        </w:numPr>
      </w:pPr>
      <w:r>
        <w:t xml:space="preserve">debt usage,</w:t>
      </w:r>
    </w:p>
    <w:p>
      <w:pPr>
        <w:pStyle w:val="Compact"/>
        <w:numPr>
          <w:ilvl w:val="0"/>
          <w:numId w:val="1008"/>
        </w:numPr>
      </w:pPr>
      <w:r>
        <w:t xml:space="preserve">free-cash-flow conversion, and</w:t>
      </w:r>
    </w:p>
    <w:p>
      <w:pPr>
        <w:pStyle w:val="Compact"/>
        <w:numPr>
          <w:ilvl w:val="0"/>
          <w:numId w:val="1008"/>
        </w:numPr>
      </w:pPr>
      <w:r>
        <w:t xml:space="preserve">future share repurchases.</w:t>
      </w:r>
    </w:p>
    <w:bookmarkEnd w:id="17"/>
    <w:bookmarkStart w:id="18" w:name="key-questions-for-the-earnings-call"/>
    <w:p>
      <w:pPr>
        <w:pStyle w:val="Heading2"/>
      </w:pPr>
      <w:r>
        <w:t xml:space="preserve">Key questions for the earnings call</w:t>
      </w:r>
    </w:p>
    <w:p>
      <w:pPr>
        <w:pStyle w:val="Compact"/>
        <w:numPr>
          <w:ilvl w:val="0"/>
          <w:numId w:val="1009"/>
        </w:numPr>
      </w:pPr>
      <w:r>
        <w:t xml:space="preserve">What is the latest data-center backlog, and how much is expected to ship in 2026 versus 2027?</w:t>
      </w:r>
    </w:p>
    <w:p>
      <w:pPr>
        <w:pStyle w:val="Compact"/>
        <w:numPr>
          <w:ilvl w:val="0"/>
          <w:numId w:val="1009"/>
        </w:numPr>
      </w:pPr>
      <w:r>
        <w:t xml:space="preserve">Has the approximately $600 million hyperscale notice-to-proceed progressed into a firm contractual commitment?</w:t>
      </w:r>
    </w:p>
    <w:p>
      <w:pPr>
        <w:pStyle w:val="Compact"/>
        <w:numPr>
          <w:ilvl w:val="0"/>
          <w:numId w:val="1009"/>
        </w:numPr>
      </w:pPr>
      <w:r>
        <w:t xml:space="preserve">Where does the second hyperscale qualification process stand?</w:t>
      </w:r>
    </w:p>
    <w:p>
      <w:pPr>
        <w:pStyle w:val="Compact"/>
        <w:numPr>
          <w:ilvl w:val="0"/>
          <w:numId w:val="1009"/>
        </w:numPr>
      </w:pPr>
      <w:r>
        <w:t xml:space="preserve">Is Sussex on track for second-half production, and when will capacity exceed $1 billion on an annualized basis?</w:t>
      </w:r>
    </w:p>
    <w:p>
      <w:pPr>
        <w:pStyle w:val="Compact"/>
        <w:numPr>
          <w:ilvl w:val="0"/>
          <w:numId w:val="1009"/>
        </w:numPr>
      </w:pPr>
      <w:r>
        <w:t xml:space="preserve">What additional capacity investment would be needed if both hyperscale opportunities convert?</w:t>
      </w:r>
    </w:p>
    <w:p>
      <w:pPr>
        <w:pStyle w:val="Compact"/>
        <w:numPr>
          <w:ilvl w:val="0"/>
          <w:numId w:val="1009"/>
        </w:numPr>
      </w:pPr>
      <w:r>
        <w:t xml:space="preserve">How accretive has Enercon been so far, and what is the expected 2026 contribution to C&amp;I margins?</w:t>
      </w:r>
    </w:p>
    <w:p>
      <w:pPr>
        <w:pStyle w:val="Compact"/>
        <w:numPr>
          <w:ilvl w:val="0"/>
          <w:numId w:val="1009"/>
        </w:numPr>
      </w:pPr>
      <w:r>
        <w:t xml:space="preserve">Are tariff assumptions unchanged, and is price/cost still favorable?</w:t>
      </w:r>
    </w:p>
    <w:p>
      <w:pPr>
        <w:pStyle w:val="Compact"/>
        <w:numPr>
          <w:ilvl w:val="0"/>
          <w:numId w:val="1009"/>
        </w:numPr>
      </w:pPr>
      <w:r>
        <w:t xml:space="preserve">Is residential standby demand tracking the anticipated second-half recovery?</w:t>
      </w:r>
    </w:p>
    <w:p>
      <w:pPr>
        <w:pStyle w:val="Compact"/>
        <w:numPr>
          <w:ilvl w:val="0"/>
          <w:numId w:val="1009"/>
        </w:numPr>
      </w:pPr>
      <w:r>
        <w:t xml:space="preserve">How is PWRmicro ramping, and does management still expect energy technology to reach breakeven in 2027?</w:t>
      </w:r>
    </w:p>
    <w:p>
      <w:pPr>
        <w:pStyle w:val="Compact"/>
        <w:numPr>
          <w:ilvl w:val="0"/>
          <w:numId w:val="1009"/>
        </w:numPr>
      </w:pPr>
      <w:r>
        <w:t xml:space="preserve">Does management still expect approximately $350 million of full-year free cash flow?</w:t>
      </w:r>
    </w:p>
    <w:bookmarkEnd w:id="18"/>
    <w:bookmarkStart w:id="19" w:name="bottom-line"/>
    <w:p>
      <w:pPr>
        <w:pStyle w:val="Heading2"/>
      </w:pPr>
      <w:r>
        <w:t xml:space="preserve">Bottom line</w:t>
      </w:r>
    </w:p>
    <w:p>
      <w:pPr>
        <w:pStyle w:val="FirstParagraph"/>
      </w:pPr>
      <w:r>
        <w:t xml:space="preserve">GNRC’s Q2 report is best viewed as a</w:t>
      </w:r>
      <w:r>
        <w:t xml:space="preserve"> </w:t>
      </w:r>
      <w:r>
        <w:rPr>
          <w:b/>
          <w:bCs/>
        </w:rPr>
        <w:t xml:space="preserve">proof-of-execution event</w:t>
      </w:r>
      <w:r>
        <w:t xml:space="preserve"> </w:t>
      </w:r>
      <w:r>
        <w:t xml:space="preserve">for the company’s data-center transformation. Consensus already anticipates strong C&amp;I growth and higher EPS, so a routine beat may not be enough. The most bullish result would pair solid quarterly execution with stronger evidence that Generac’s hyperscale opportunities are converting into firm multiyear demand, while preserving the full-year margin and free-cash-flow outlook.</w:t>
      </w:r>
    </w:p>
    <w:p>
      <w:pPr>
        <w:pStyle w:val="BodyText"/>
      </w:pPr>
      <w:r>
        <w:t xml:space="preserve">The key downside risk is not necessarily a weak Q2 number—it is any sign that the data-center pipeline is taking longer to convert, that capacity or supply-chain constraints are becoming binding, or that the company’s second-half residential and margin assumptions have become less achievable.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2026-07-29T00:56:10Z</dcterms:created>
  <dcterms:modified xsi:type="dcterms:W3CDTF">2026-07-29T00:56:10Z</dcterms:modified>
</cp:coreProperties>
</file>

<file path=docProps/custom.xml><?xml version="1.0" encoding="utf-8"?>
<Properties xmlns="http://schemas.openxmlformats.org/officeDocument/2006/custom-properties" xmlns:vt="http://schemas.openxmlformats.org/officeDocument/2006/docPropsVTypes"/>
</file>