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Generac Holdings Inc. (GNRC) — Q2 2026 Earnings Preview</w:t>
      </w:r>
    </w:p>
    <w:p>
      <w:r>
        <w:rPr>
          <w:rFonts w:ascii="Calibri" w:hAnsi="Calibri"/>
          <w:b/>
          <w:color w:val="525866"/>
          <w:sz w:val="22"/>
        </w:rPr>
        <w:t xml:space="preserve">Earnings Date: </w:t>
      </w:r>
      <w:r>
        <w:rPr>
          <w:rFonts w:ascii="Calibri" w:hAnsi="Calibri"/>
          <w:color w:val="525866"/>
          <w:sz w:val="22"/>
        </w:rPr>
        <w:t xml:space="preserve">July 29, 2026 (Before Market Open)  </w:t>
      </w:r>
      <w:r>
        <w:rPr>
          <w:rFonts w:ascii="Calibri" w:hAnsi="Calibri"/>
          <w:b/>
          <w:color w:val="525866"/>
          <w:sz w:val="22"/>
        </w:rPr>
        <w:t xml:space="preserve">Prepared: </w:t>
      </w:r>
      <w:r>
        <w:rPr>
          <w:rFonts w:ascii="Calibri" w:hAnsi="Calibri"/>
          <w:color w:val="525866"/>
          <w:sz w:val="22"/>
        </w:rPr>
        <w:t>July 28, 2026</w:t>
      </w:r>
    </w:p>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color w:val="525866"/>
          <w:sz w:val="22"/>
        </w:rPr>
        <w:t xml:space="preserve">The setup is mixed — consensus is a manageable bar after Q1's massive beat, but the stock has given back </w:t>
      </w:r>
      <w:r>
        <w:rPr>
          <w:rFonts w:ascii="Calibri" w:hAnsi="Calibri"/>
          <w:b/>
          <w:color w:val="525866"/>
          <w:sz w:val="22"/>
        </w:rPr>
        <w:t>-22.7%</w:t>
      </w:r>
      <w:r>
        <w:rPr>
          <w:rFonts w:ascii="Calibri" w:hAnsi="Calibri"/>
          <w:color w:val="525866"/>
          <w:sz w:val="22"/>
        </w:rPr>
        <w:t xml:space="preserve"> since earnings (vs XLI +7.4%, SPY +4.1%), suggesting the market is skeptical about the pace of data center revenue conversion and residential recovery. The wildcard is whether GNRC can confirm the </w:t>
      </w:r>
      <w:r>
        <w:rPr>
          <w:rFonts w:ascii="Calibri" w:hAnsi="Calibri"/>
          <w:b/>
          <w:color w:val="525866"/>
          <w:sz w:val="22"/>
        </w:rPr>
        <w:t>June 2 hyperscale supply agreement</w:t>
      </w:r>
      <w:r>
        <w:rPr>
          <w:rFonts w:ascii="Calibri" w:hAnsi="Calibri"/>
          <w:color w:val="525866"/>
          <w:sz w:val="22"/>
        </w:rPr>
        <w:t xml:space="preserve"> is translating into Q2 revenue and provide an updated backlog figure.</w:t>
      </w:r>
    </w:p>
    <w:p>
      <w:r>
        <w:rPr>
          <w:rFonts w:ascii="Calibri" w:hAnsi="Calibri"/>
          <w:color w:val="525866"/>
          <w:sz w:val="22"/>
        </w:rPr>
        <w:t xml:space="preserve">Q2 2026 consensus calls for ~9–10% revenue growth (in line with management's own guide), driven entirely by C&amp;I/data center, with residential roughly flat. After Q1's </w:t>
      </w:r>
      <w:r>
        <w:rPr>
          <w:rFonts w:ascii="Calibri" w:hAnsi="Calibri"/>
          <w:b/>
          <w:color w:val="525866"/>
          <w:sz w:val="22"/>
        </w:rPr>
        <w:t>massive EPS beat (+$0.47 vs consensus)</w:t>
      </w:r>
      <w:r>
        <w:rPr>
          <w:rFonts w:ascii="Calibri" w:hAnsi="Calibri"/>
          <w:color w:val="525866"/>
          <w:sz w:val="22"/>
        </w:rPr>
        <w:t xml:space="preserve">, the bar is reset higher and the market will be focused on whether data center revenue is actually flowing through — the June 2 hyperscale supply agreement and the Sussex facility pulling forward to Q3 are key catalysts. Estimate revisions have been </w:t>
      </w:r>
      <w:r>
        <w:rPr>
          <w:rFonts w:ascii="Calibri" w:hAnsi="Calibri"/>
          <w:b/>
          <w:color w:val="525866"/>
          <w:sz w:val="22"/>
        </w:rPr>
        <w:t>minimal since Q1</w:t>
      </w:r>
      <w:r>
        <w:rPr>
          <w:rFonts w:ascii="Calibri" w:hAnsi="Calibri"/>
          <w:color w:val="525866"/>
          <w:sz w:val="22"/>
        </w:rPr>
        <w:t xml:space="preserve"> (revenue consensus barely moved, EPS up slightly), suggesting the Street is waiting for confirmation rather than getting ahead of the story. The stock's -22.7% decline since Q1 earnings (vs XLI +7.4%) reflects a valuation reset and BofA PT cut, not a fundamental deterioration — creating a potentially interesting setup if Q2 confirms the data center ramp. The wildcard is the </w:t>
      </w:r>
      <w:r>
        <w:rPr>
          <w:rFonts w:ascii="Calibri" w:hAnsi="Calibri"/>
          <w:b/>
          <w:color w:val="525866"/>
          <w:sz w:val="22"/>
        </w:rPr>
        <w:t>backlog update</w:t>
      </w:r>
      <w:r>
        <w:rPr>
          <w:rFonts w:ascii="Calibri" w:hAnsi="Calibri"/>
          <w:color w:val="525866"/>
          <w:sz w:val="22"/>
        </w:rPr>
        <w:t>: at Q1 it was &gt;$700M (up ~$300M in one quarter); any further acceleration or a formal hyperscale contract announcement would be a significant positive catalyst.</w:t>
      </w:r>
    </w:p>
    <w:p>
      <w:pPr>
        <w:pStyle w:val="ListBullet"/>
        <w:ind w:left="360" w:hanging="360"/>
      </w:pPr>
      <w:r>
        <w:rPr>
          <w:rFonts w:ascii="Calibri" w:hAnsi="Calibri"/>
          <w:b/>
          <w:color w:val="525866"/>
          <w:sz w:val="22"/>
        </w:rPr>
        <w:t xml:space="preserve">Bar: </w:t>
      </w:r>
      <w:r>
        <w:rPr>
          <w:rFonts w:ascii="Calibri" w:hAnsi="Calibri"/>
          <w:color w:val="525866"/>
          <w:sz w:val="22"/>
        </w:rPr>
        <w:t>Consensus is a moderate bar — management guided Q2 revenue growth of ~9–10%, and consensus is right in line at ~$1.18B. EPS consensus of ~$2.01 is well above Q2 2025's $1.65 but below Q1 2026's $1.80 actual.</w:t>
      </w:r>
    </w:p>
    <w:p>
      <w:pPr>
        <w:pStyle w:val="ListBullet"/>
        <w:ind w:left="360" w:hanging="360"/>
      </w:pPr>
      <w:r>
        <w:rPr>
          <w:rFonts w:ascii="Calibri" w:hAnsi="Calibri"/>
          <w:b/>
          <w:color w:val="525866"/>
          <w:sz w:val="22"/>
        </w:rPr>
        <w:t xml:space="preserve">Guidance/Tone: </w:t>
      </w:r>
      <w:r>
        <w:rPr>
          <w:rFonts w:ascii="Calibri" w:hAnsi="Calibri"/>
          <w:color w:val="525866"/>
          <w:sz w:val="22"/>
        </w:rPr>
        <w:t>Management was highly confident on the Q1 call — raised FY guidance twice (revenue to mid-to-high teens, EBITDA margin to 18.5–19.5%). Tone was aggressive on the data center opportunity.</w:t>
      </w:r>
    </w:p>
    <w:p>
      <w:pPr>
        <w:pStyle w:val="ListBullet"/>
        <w:ind w:left="360" w:hanging="360"/>
      </w:pPr>
      <w:r>
        <w:rPr>
          <w:rFonts w:ascii="Calibri" w:hAnsi="Calibri"/>
          <w:b/>
          <w:color w:val="525866"/>
          <w:sz w:val="22"/>
        </w:rPr>
        <w:t xml:space="preserve">Estimate Trajectory: </w:t>
      </w:r>
      <w:r>
        <w:rPr>
          <w:rFonts w:ascii="Calibri" w:hAnsi="Calibri"/>
          <w:color w:val="525866"/>
          <w:sz w:val="22"/>
        </w:rPr>
        <w:t>Estimates have been largely stable since the Q1 print — no meaningful revision up or down, suggesting the Street is in wait-and-see mode.</w:t>
      </w:r>
    </w:p>
    <w:p>
      <w:pPr>
        <w:pStyle w:val="ListBullet"/>
        <w:ind w:left="360" w:hanging="360"/>
      </w:pPr>
      <w:r>
        <w:rPr>
          <w:rFonts w:ascii="Calibri" w:hAnsi="Calibri"/>
          <w:b/>
          <w:color w:val="525866"/>
          <w:sz w:val="22"/>
        </w:rPr>
        <w:t xml:space="preserve">Stock Setup: </w:t>
      </w:r>
      <w:r>
        <w:rPr>
          <w:rFonts w:ascii="Calibri" w:hAnsi="Calibri"/>
          <w:color w:val="525866"/>
          <w:sz w:val="22"/>
        </w:rPr>
        <w:t>Stock has de-rated sharply (-22.7% since Q1 earnings vs XLI +7.4%), driven by BofA PT cut and pre-earnings risk reduction. Multiple has compressed, creating a lower bar for a positive reaction.</w:t>
      </w:r>
    </w:p>
    <w:p>
      <w:pPr>
        <w:pStyle w:val="ListBullet"/>
        <w:ind w:left="360" w:hanging="360"/>
      </w:pPr>
      <w:r>
        <w:rPr>
          <w:rFonts w:ascii="Calibri" w:hAnsi="Calibri"/>
          <w:b/>
          <w:color w:val="525866"/>
          <w:sz w:val="22"/>
        </w:rPr>
        <w:t xml:space="preserve">Wildcard: </w:t>
      </w:r>
      <w:r>
        <w:rPr>
          <w:rFonts w:ascii="Calibri" w:hAnsi="Calibri"/>
          <w:color w:val="525866"/>
          <w:sz w:val="22"/>
        </w:rPr>
        <w:t>Backlog update and hyperscale vendor approval status — management said they were in "final stages" with two hyperscale customers at Q1; any formal approval announcement would be a step-change catalyst.</w:t>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on revenue (in line with guidance), but EPS expectations are elevated vs. prior year. The bigger swing factor is </w:t>
      </w:r>
      <w:r>
        <w:rPr>
          <w:rFonts w:ascii="Calibri" w:hAnsi="Calibri"/>
          <w:b/>
          <w:color w:val="525866"/>
          <w:sz w:val="22"/>
        </w:rPr>
        <w:t>C&amp;I segment revenue and EBITDA margin</w:t>
      </w:r>
      <w:r>
        <w:rPr>
          <w:rFonts w:ascii="Calibri" w:hAnsi="Calibri"/>
          <w:color w:val="525866"/>
          <w:sz w:val="22"/>
        </w:rPr>
        <w:t xml:space="preserve"> — both need to confirm the data center ramp is real.</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 ($M)</w:t>
            </w:r>
          </w:p>
        </w:tc>
        <w:tc>
          <w:tcPr>
            <w:tcW w:type="dxa" w:w="1234"/>
          </w:tcPr>
          <w:p>
            <w:r>
              <w:rPr>
                <w:rFonts w:ascii="Calibri" w:hAnsi="Calibri"/>
                <w:sz w:val="22"/>
              </w:rPr>
              <w:t>$1,059.4M</w:t>
            </w:r>
          </w:p>
        </w:tc>
        <w:tc>
          <w:tcPr>
            <w:tcW w:type="dxa" w:w="1234"/>
          </w:tcPr>
          <w:p>
            <w:r>
              <w:rPr>
                <w:rFonts w:ascii="Calibri" w:hAnsi="Calibri"/>
                <w:sz w:val="22"/>
              </w:rPr>
              <w:t>$1,061.2M</w:t>
            </w:r>
          </w:p>
        </w:tc>
        <w:tc>
          <w:tcPr>
            <w:tcW w:type="dxa" w:w="1234"/>
          </w:tcPr>
          <w:p>
            <w:r>
              <w:rPr>
                <w:rFonts w:ascii="Calibri" w:hAnsi="Calibri"/>
                <w:sz w:val="22"/>
              </w:rPr>
              <w:t>$1,180.0M</w:t>
            </w:r>
          </w:p>
        </w:tc>
        <w:tc>
          <w:tcPr>
            <w:tcW w:type="dxa" w:w="1234"/>
          </w:tcPr>
          <w:p>
            <w:r>
              <w:rPr>
                <w:rFonts w:ascii="Calibri" w:hAnsi="Calibri"/>
                <w:sz w:val="22"/>
              </w:rPr>
              <w:t>+11.2%</w:t>
            </w:r>
          </w:p>
        </w:tc>
        <w:tc>
          <w:tcPr>
            <w:tcW w:type="dxa" w:w="1234"/>
          </w:tcPr>
          <w:p>
            <w:r>
              <w:rPr>
                <w:rFonts w:ascii="Calibri" w:hAnsi="Calibri"/>
                <w:sz w:val="22"/>
              </w:rPr>
              <w:t>~9–10% growth (~$1,165–1,168M)</w:t>
            </w:r>
          </w:p>
        </w:tc>
        <w:tc>
          <w:tcPr>
            <w:tcW w:type="dxa" w:w="1234"/>
          </w:tcPr>
          <w:p>
            <w:r>
              <w:rPr>
                <w:rFonts w:ascii="Calibri" w:hAnsi="Calibri"/>
                <w:sz w:val="22"/>
              </w:rPr>
              <w:t>+1.0% above midpoint</w:t>
            </w:r>
          </w:p>
        </w:tc>
      </w:tr>
      <w:tr>
        <w:tc>
          <w:tcPr>
            <w:tcW w:type="dxa" w:w="1234"/>
          </w:tcPr>
          <w:p>
            <w:r>
              <w:rPr>
                <w:rFonts w:ascii="Calibri" w:hAnsi="Calibri"/>
                <w:sz w:val="22"/>
              </w:rPr>
              <w:t>Net Sales — C&amp;I ($M)</w:t>
            </w:r>
          </w:p>
        </w:tc>
        <w:tc>
          <w:tcPr>
            <w:tcW w:type="dxa" w:w="1234"/>
          </w:tcPr>
          <w:p>
            <w:r>
              <w:rPr>
                <w:rFonts w:ascii="Calibri" w:hAnsi="Calibri"/>
                <w:sz w:val="22"/>
              </w:rPr>
              <w:t>$510.1M</w:t>
            </w:r>
          </w:p>
        </w:tc>
        <w:tc>
          <w:tcPr>
            <w:tcW w:type="dxa" w:w="1234"/>
          </w:tcPr>
          <w:p>
            <w:r>
              <w:rPr>
                <w:rFonts w:ascii="Calibri" w:hAnsi="Calibri"/>
                <w:sz w:val="22"/>
              </w:rPr>
              <w:t>$430.6M</w:t>
            </w:r>
          </w:p>
        </w:tc>
        <w:tc>
          <w:tcPr>
            <w:tcW w:type="dxa" w:w="1234"/>
          </w:tcPr>
          <w:p>
            <w:r>
              <w:rPr>
                <w:rFonts w:ascii="Calibri" w:hAnsi="Calibri"/>
                <w:sz w:val="22"/>
              </w:rPr>
              <w:t>$535.4M</w:t>
            </w:r>
          </w:p>
        </w:tc>
        <w:tc>
          <w:tcPr>
            <w:tcW w:type="dxa" w:w="1234"/>
          </w:tcPr>
          <w:p>
            <w:r>
              <w:rPr>
                <w:rFonts w:ascii="Calibri" w:hAnsi="Calibri"/>
                <w:sz w:val="22"/>
              </w:rPr>
              <w:t>+24.3%</w:t>
            </w:r>
          </w:p>
        </w:tc>
        <w:tc>
          <w:tcPr>
            <w:tcW w:type="dxa" w:w="1234"/>
          </w:tcPr>
          <w:p>
            <w:r>
              <w:rPr>
                <w:rFonts w:ascii="Calibri" w:hAnsi="Calibri"/>
                <w:sz w:val="22"/>
              </w:rPr>
              <w:t>Mid-to-high 20% growth</w:t>
            </w:r>
          </w:p>
        </w:tc>
        <w:tc>
          <w:tcPr>
            <w:tcW w:type="dxa" w:w="1234"/>
          </w:tcPr>
          <w:p>
            <w:r>
              <w:rPr>
                <w:rFonts w:ascii="Calibri" w:hAnsi="Calibri"/>
                <w:sz w:val="22"/>
              </w:rPr>
              <w:t>In line</w:t>
            </w:r>
          </w:p>
        </w:tc>
      </w:tr>
      <w:tr>
        <w:tc>
          <w:tcPr>
            <w:tcW w:type="dxa" w:w="1234"/>
          </w:tcPr>
          <w:p>
            <w:r>
              <w:rPr>
                <w:rFonts w:ascii="Calibri" w:hAnsi="Calibri"/>
                <w:sz w:val="22"/>
              </w:rPr>
              <w:t>Net Sales — Residential ($M)</w:t>
            </w:r>
          </w:p>
        </w:tc>
        <w:tc>
          <w:tcPr>
            <w:tcW w:type="dxa" w:w="1234"/>
          </w:tcPr>
          <w:p>
            <w:r>
              <w:rPr>
                <w:rFonts w:ascii="Calibri" w:hAnsi="Calibri"/>
                <w:sz w:val="22"/>
              </w:rPr>
              <w:t>$552.2M</w:t>
            </w:r>
          </w:p>
        </w:tc>
        <w:tc>
          <w:tcPr>
            <w:tcW w:type="dxa" w:w="1234"/>
          </w:tcPr>
          <w:p>
            <w:r>
              <w:rPr>
                <w:rFonts w:ascii="Calibri" w:hAnsi="Calibri"/>
                <w:sz w:val="22"/>
              </w:rPr>
              <w:t>$634.7M</w:t>
            </w:r>
          </w:p>
        </w:tc>
        <w:tc>
          <w:tcPr>
            <w:tcW w:type="dxa" w:w="1234"/>
          </w:tcPr>
          <w:p>
            <w:r>
              <w:rPr>
                <w:rFonts w:ascii="Calibri" w:hAnsi="Calibri"/>
                <w:sz w:val="22"/>
              </w:rPr>
              <w:t>$648.5M</w:t>
            </w:r>
          </w:p>
        </w:tc>
        <w:tc>
          <w:tcPr>
            <w:tcW w:type="dxa" w:w="1234"/>
          </w:tcPr>
          <w:p>
            <w:r>
              <w:rPr>
                <w:rFonts w:ascii="Calibri" w:hAnsi="Calibri"/>
                <w:sz w:val="22"/>
              </w:rPr>
              <w:t>+2.2%</w:t>
            </w:r>
          </w:p>
        </w:tc>
        <w:tc>
          <w:tcPr>
            <w:tcW w:type="dxa" w:w="1234"/>
          </w:tcPr>
          <w:p>
            <w:r>
              <w:rPr>
                <w:rFonts w:ascii="Calibri" w:hAnsi="Calibri"/>
                <w:sz w:val="22"/>
              </w:rPr>
              <w:t>~10% growth</w:t>
            </w:r>
          </w:p>
        </w:tc>
        <w:tc>
          <w:tcPr>
            <w:tcW w:type="dxa" w:w="1234"/>
          </w:tcPr>
          <w:p>
            <w:r>
              <w:rPr>
                <w:rFonts w:ascii="Calibri" w:hAnsi="Calibri"/>
                <w:sz w:val="22"/>
              </w:rPr>
              <w:t>In line</w:t>
            </w:r>
          </w:p>
        </w:tc>
      </w:tr>
      <w:tr>
        <w:tc>
          <w:tcPr>
            <w:tcW w:type="dxa" w:w="1234"/>
          </w:tcPr>
          <w:p>
            <w:r>
              <w:rPr>
                <w:rFonts w:ascii="Calibri" w:hAnsi="Calibri"/>
                <w:sz w:val="22"/>
              </w:rPr>
              <w:t>Adj. EBITDA ($M)</w:t>
            </w:r>
          </w:p>
        </w:tc>
        <w:tc>
          <w:tcPr>
            <w:tcW w:type="dxa" w:w="1234"/>
          </w:tcPr>
          <w:p>
            <w:r>
              <w:rPr>
                <w:rFonts w:ascii="Calibri" w:hAnsi="Calibri"/>
                <w:sz w:val="22"/>
              </w:rPr>
              <w:t>$193.5M</w:t>
            </w:r>
          </w:p>
        </w:tc>
        <w:tc>
          <w:tcPr>
            <w:tcW w:type="dxa" w:w="1234"/>
          </w:tcPr>
          <w:p>
            <w:r>
              <w:rPr>
                <w:rFonts w:ascii="Calibri" w:hAnsi="Calibri"/>
                <w:sz w:val="22"/>
              </w:rPr>
              <w:t>$187.6M</w:t>
            </w:r>
          </w:p>
        </w:tc>
        <w:tc>
          <w:tcPr>
            <w:tcW w:type="dxa" w:w="1234"/>
          </w:tcPr>
          <w:p>
            <w:r>
              <w:rPr>
                <w:rFonts w:ascii="Calibri" w:hAnsi="Calibri"/>
                <w:sz w:val="22"/>
              </w:rPr>
              <w:t>$216.9M</w:t>
            </w:r>
          </w:p>
        </w:tc>
        <w:tc>
          <w:tcPr>
            <w:tcW w:type="dxa" w:w="1234"/>
          </w:tcPr>
          <w:p>
            <w:r>
              <w:rPr>
                <w:rFonts w:ascii="Calibri" w:hAnsi="Calibri"/>
                <w:sz w:val="22"/>
              </w:rPr>
              <w:t>+15.6%</w:t>
            </w:r>
          </w:p>
        </w:tc>
        <w:tc>
          <w:tcPr>
            <w:tcW w:type="dxa" w:w="1234"/>
          </w:tcPr>
          <w:p>
            <w:r>
              <w:rPr>
                <w:rFonts w:ascii="Calibri" w:hAnsi="Calibri"/>
                <w:sz w:val="22"/>
              </w:rPr>
              <w:t>~18% range</w:t>
            </w:r>
          </w:p>
        </w:tc>
        <w:tc>
          <w:tcPr>
            <w:tcW w:type="dxa" w:w="1234"/>
          </w:tcPr>
          <w:p>
            <w:r>
              <w:rPr>
                <w:rFonts w:ascii="Calibri" w:hAnsi="Calibri"/>
                <w:sz w:val="22"/>
              </w:rPr>
              <w:t>In line</w:t>
            </w:r>
          </w:p>
        </w:tc>
      </w:tr>
      <w:tr>
        <w:tc>
          <w:tcPr>
            <w:tcW w:type="dxa" w:w="1234"/>
          </w:tcPr>
          <w:p>
            <w:r>
              <w:rPr>
                <w:rFonts w:ascii="Calibri" w:hAnsi="Calibri"/>
                <w:sz w:val="22"/>
              </w:rPr>
              <w:t>Adj. EBITDA Margin (%)</w:t>
            </w:r>
          </w:p>
        </w:tc>
        <w:tc>
          <w:tcPr>
            <w:tcW w:type="dxa" w:w="1234"/>
          </w:tcPr>
          <w:p>
            <w:r>
              <w:rPr>
                <w:rFonts w:ascii="Calibri" w:hAnsi="Calibri"/>
                <w:sz w:val="22"/>
              </w:rPr>
              <w:t>18.3%</w:t>
            </w:r>
          </w:p>
        </w:tc>
        <w:tc>
          <w:tcPr>
            <w:tcW w:type="dxa" w:w="1234"/>
          </w:tcPr>
          <w:p>
            <w:r>
              <w:rPr>
                <w:rFonts w:ascii="Calibri" w:hAnsi="Calibri"/>
                <w:sz w:val="22"/>
              </w:rPr>
              <w:t>17.7%</w:t>
            </w:r>
          </w:p>
        </w:tc>
        <w:tc>
          <w:tcPr>
            <w:tcW w:type="dxa" w:w="1234"/>
          </w:tcPr>
          <w:p>
            <w:r>
              <w:rPr>
                <w:rFonts w:ascii="Calibri" w:hAnsi="Calibri"/>
                <w:sz w:val="22"/>
              </w:rPr>
              <w:t>18.4%</w:t>
            </w:r>
          </w:p>
        </w:tc>
        <w:tc>
          <w:tcPr>
            <w:tcW w:type="dxa" w:w="1234"/>
          </w:tcPr>
          <w:p>
            <w:r>
              <w:rPr>
                <w:rFonts w:ascii="Calibri" w:hAnsi="Calibri"/>
                <w:sz w:val="22"/>
              </w:rPr>
              <w:t>+70bps</w:t>
            </w:r>
          </w:p>
        </w:tc>
        <w:tc>
          <w:tcPr>
            <w:tcW w:type="dxa" w:w="1234"/>
          </w:tcPr>
          <w:p>
            <w:r>
              <w:rPr>
                <w:rFonts w:ascii="Calibri" w:hAnsi="Calibri"/>
                <w:sz w:val="22"/>
              </w:rPr>
              <w:t>~18% range</w:t>
            </w:r>
          </w:p>
        </w:tc>
        <w:tc>
          <w:tcPr>
            <w:tcW w:type="dxa" w:w="1234"/>
          </w:tcPr>
          <w:p>
            <w:r>
              <w:rPr>
                <w:rFonts w:ascii="Calibri" w:hAnsi="Calibri"/>
                <w:sz w:val="22"/>
              </w:rPr>
              <w:t>+40bps above midpoint</w:t>
            </w:r>
          </w:p>
        </w:tc>
      </w:tr>
      <w:tr>
        <w:tc>
          <w:tcPr>
            <w:tcW w:type="dxa" w:w="1234"/>
          </w:tcPr>
          <w:p>
            <w:r>
              <w:rPr>
                <w:rFonts w:ascii="Calibri" w:hAnsi="Calibri"/>
                <w:sz w:val="22"/>
              </w:rPr>
              <w:t>Gross Margin (%)</w:t>
            </w:r>
          </w:p>
        </w:tc>
        <w:tc>
          <w:tcPr>
            <w:tcW w:type="dxa" w:w="1234"/>
          </w:tcPr>
          <w:p>
            <w:r>
              <w:rPr>
                <w:rFonts w:ascii="Calibri" w:hAnsi="Calibri"/>
                <w:sz w:val="22"/>
              </w:rPr>
              <w:t>38.7%</w:t>
            </w:r>
          </w:p>
        </w:tc>
        <w:tc>
          <w:tcPr>
            <w:tcW w:type="dxa" w:w="1234"/>
          </w:tcPr>
          <w:p>
            <w:r>
              <w:rPr>
                <w:rFonts w:ascii="Calibri" w:hAnsi="Calibri"/>
                <w:sz w:val="22"/>
              </w:rPr>
              <w:t>39.3%</w:t>
            </w:r>
          </w:p>
        </w:tc>
        <w:tc>
          <w:tcPr>
            <w:tcW w:type="dxa" w:w="1234"/>
          </w:tcPr>
          <w:p>
            <w:r>
              <w:rPr>
                <w:rFonts w:ascii="Calibri" w:hAnsi="Calibri"/>
                <w:sz w:val="22"/>
              </w:rPr>
              <w:t>38.7%</w:t>
            </w:r>
          </w:p>
        </w:tc>
        <w:tc>
          <w:tcPr>
            <w:tcW w:type="dxa" w:w="1234"/>
          </w:tcPr>
          <w:p>
            <w:r>
              <w:rPr>
                <w:rFonts w:ascii="Calibri" w:hAnsi="Calibri"/>
                <w:sz w:val="22"/>
              </w:rPr>
              <w:t>-60bps</w:t>
            </w:r>
          </w:p>
        </w:tc>
        <w:tc>
          <w:tcPr>
            <w:tcW w:type="dxa" w:w="1234"/>
          </w:tcPr>
          <w:p>
            <w:r>
              <w:rPr>
                <w:rFonts w:ascii="Calibri" w:hAnsi="Calibri"/>
                <w:sz w:val="22"/>
              </w:rPr>
              <w:t>38.5–39.5% FY range</w:t>
            </w:r>
          </w:p>
        </w:tc>
        <w:tc>
          <w:tcPr>
            <w:tcW w:type="dxa" w:w="1234"/>
          </w:tcPr>
          <w:p>
            <w:r>
              <w:rPr>
                <w:rFonts w:ascii="Calibri" w:hAnsi="Calibri"/>
                <w:sz w:val="22"/>
              </w:rPr>
              <w:t>In range</w:t>
            </w:r>
          </w:p>
        </w:tc>
      </w:tr>
      <w:tr>
        <w:tc>
          <w:tcPr>
            <w:tcW w:type="dxa" w:w="1234"/>
          </w:tcPr>
          <w:p>
            <w:r>
              <w:rPr>
                <w:rFonts w:ascii="Calibri" w:hAnsi="Calibri"/>
                <w:sz w:val="22"/>
              </w:rPr>
              <w:t>Diluted EPS — Operating</w:t>
            </w:r>
          </w:p>
        </w:tc>
        <w:tc>
          <w:tcPr>
            <w:tcW w:type="dxa" w:w="1234"/>
          </w:tcPr>
          <w:p>
            <w:r>
              <w:rPr>
                <w:rFonts w:ascii="Calibri" w:hAnsi="Calibri"/>
                <w:sz w:val="22"/>
              </w:rPr>
              <w:t>$1.80</w:t>
            </w:r>
          </w:p>
        </w:tc>
        <w:tc>
          <w:tcPr>
            <w:tcW w:type="dxa" w:w="1234"/>
          </w:tcPr>
          <w:p>
            <w:r>
              <w:rPr>
                <w:rFonts w:ascii="Calibri" w:hAnsi="Calibri"/>
                <w:sz w:val="22"/>
              </w:rPr>
              <w:t>$1.65</w:t>
            </w:r>
          </w:p>
        </w:tc>
        <w:tc>
          <w:tcPr>
            <w:tcW w:type="dxa" w:w="1234"/>
          </w:tcPr>
          <w:p>
            <w:r>
              <w:rPr>
                <w:rFonts w:ascii="Calibri" w:hAnsi="Calibri"/>
                <w:sz w:val="22"/>
              </w:rPr>
              <w:t>$2.01</w:t>
            </w:r>
          </w:p>
        </w:tc>
        <w:tc>
          <w:tcPr>
            <w:tcW w:type="dxa" w:w="1234"/>
          </w:tcPr>
          <w:p>
            <w:r>
              <w:rPr>
                <w:rFonts w:ascii="Calibri" w:hAnsi="Calibri"/>
                <w:sz w:val="22"/>
              </w:rPr>
              <w:t>+21.8%</w:t>
            </w:r>
          </w:p>
        </w:tc>
        <w:tc>
          <w:tcPr>
            <w:tcW w:type="dxa" w:w="1234"/>
          </w:tcPr>
          <w:p>
            <w:r>
              <w:rPr>
                <w:rFonts w:ascii="Calibri" w:hAnsi="Calibri"/>
                <w:sz w:val="22"/>
              </w:rPr>
              <w:t>N/A (no Q2 EPS guide)</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$89.9M</w:t>
            </w:r>
          </w:p>
        </w:tc>
        <w:tc>
          <w:tcPr>
            <w:tcW w:type="dxa" w:w="1234"/>
          </w:tcPr>
          <w:p>
            <w:r>
              <w:rPr>
                <w:rFonts w:ascii="Calibri" w:hAnsi="Calibri"/>
                <w:sz w:val="22"/>
              </w:rPr>
              <w:t>$14.5M</w:t>
            </w:r>
          </w:p>
        </w:tc>
        <w:tc>
          <w:tcPr>
            <w:tcW w:type="dxa" w:w="1234"/>
          </w:tcPr>
          <w:p>
            <w:r>
              <w:rPr>
                <w:rFonts w:ascii="Calibri" w:hAnsi="Calibri"/>
                <w:sz w:val="22"/>
              </w:rPr>
              <w:t>$65.8M</w:t>
            </w:r>
          </w:p>
        </w:tc>
        <w:tc>
          <w:tcPr>
            <w:tcW w:type="dxa" w:w="1234"/>
          </w:tcPr>
          <w:p>
            <w:r>
              <w:rPr>
                <w:rFonts w:ascii="Calibri" w:hAnsi="Calibri"/>
                <w:sz w:val="22"/>
              </w:rPr>
              <w:t>+354%</w:t>
            </w:r>
          </w:p>
        </w:tc>
        <w:tc>
          <w:tcPr>
            <w:tcW w:type="dxa" w:w="1234"/>
          </w:tcPr>
          <w:p>
            <w:r>
              <w:rPr>
                <w:rFonts w:ascii="Calibri" w:hAnsi="Calibri"/>
                <w:sz w:val="22"/>
              </w:rPr>
              <w:t>~$350M FY</w:t>
            </w:r>
          </w:p>
        </w:tc>
        <w:tc>
          <w:tcPr>
            <w:tcW w:type="dxa" w:w="1234"/>
          </w:tcPr>
          <w:p>
            <w:r>
              <w:rPr>
                <w:rFonts w:ascii="Calibri" w:hAnsi="Calibri"/>
                <w:sz w:val="22"/>
              </w:rPr>
              <w:t>Tracking</w:t>
            </w:r>
          </w:p>
        </w:tc>
      </w:tr>
    </w:tbl>
    <w:p>
      <w:r>
        <w:rPr>
          <w:rFonts w:ascii="Calibri" w:hAnsi="Calibri"/>
          <w:i/>
          <w:color w:val="525866"/>
          <w:sz w:val="22"/>
        </w:rPr>
        <w:t xml:space="preserve">Source: </w:t>
      </w:r>
      <w:r>
        <w:rPr>
          <w:rFonts w:ascii="Calibri" w:hAnsi="Calibri"/>
          <w:i/>
          <w:color w:val="525866"/>
          <w:sz w:val="22"/>
        </w:rPr>
        <w:t>Visible Alpha consensus as of July 28, 2026. Q2 2026 guidance from Q1 2026 earnings call (April 29, 2026).</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Quarter</w:t>
            </w:r>
          </w:p>
        </w:tc>
        <w:tc>
          <w:tcPr>
            <w:tcW w:type="dxa" w:w="960"/>
            <w:shd w:val="clear" w:color="auto" w:fill="3B4259"/>
          </w:tcPr>
          <w:p>
            <w:r>
              <w:rPr>
                <w:rFonts w:ascii="Calibri" w:hAnsi="Calibri"/>
                <w:b/>
                <w:color w:val="FFFFFF"/>
                <w:sz w:val="22"/>
              </w:rPr>
              <w:t>Net Sales Reported</w:t>
            </w:r>
          </w:p>
        </w:tc>
        <w:tc>
          <w:tcPr>
            <w:tcW w:type="dxa" w:w="960"/>
            <w:shd w:val="clear" w:color="auto" w:fill="3B4259"/>
          </w:tcPr>
          <w:p>
            <w:r>
              <w:rPr>
                <w:rFonts w:ascii="Calibri" w:hAnsi="Calibri"/>
                <w:b/>
                <w:color w:val="FFFFFF"/>
                <w:sz w:val="22"/>
              </w:rPr>
              <w:t>Net Sales Consensus</w:t>
            </w:r>
          </w:p>
        </w:tc>
        <w:tc>
          <w:tcPr>
            <w:tcW w:type="dxa" w:w="960"/>
            <w:shd w:val="clear" w:color="auto" w:fill="3B4259"/>
          </w:tcPr>
          <w:p>
            <w:r>
              <w:rPr>
                <w:rFonts w:ascii="Calibri" w:hAnsi="Calibri"/>
                <w:b/>
                <w:color w:val="FFFFFF"/>
                <w:sz w:val="22"/>
              </w:rPr>
              <w:t>Revenue Surprise</w:t>
            </w:r>
          </w:p>
        </w:tc>
        <w:tc>
          <w:tcPr>
            <w:tcW w:type="dxa" w:w="960"/>
            <w:shd w:val="clear" w:color="auto" w:fill="3B4259"/>
          </w:tcPr>
          <w:p>
            <w:r>
              <w:rPr>
                <w:rFonts w:ascii="Calibri" w:hAnsi="Calibri"/>
                <w:b/>
                <w:color w:val="FFFFFF"/>
                <w:sz w:val="22"/>
              </w:rPr>
              <w:t>Revenue Result</w:t>
            </w:r>
          </w:p>
        </w:tc>
        <w:tc>
          <w:tcPr>
            <w:tcW w:type="dxa" w:w="960"/>
            <w:shd w:val="clear" w:color="auto" w:fill="3B4259"/>
          </w:tcPr>
          <w:p>
            <w:r>
              <w:rPr>
                <w:rFonts w:ascii="Calibri" w:hAnsi="Calibri"/>
                <w:b/>
                <w:color w:val="FFFFFF"/>
                <w:sz w:val="22"/>
              </w:rPr>
              <w:t>EPS Reported</w:t>
            </w:r>
          </w:p>
        </w:tc>
        <w:tc>
          <w:tcPr>
            <w:tcW w:type="dxa" w:w="960"/>
            <w:shd w:val="clear" w:color="auto" w:fill="3B4259"/>
          </w:tcPr>
          <w:p>
            <w:r>
              <w:rPr>
                <w:rFonts w:ascii="Calibri" w:hAnsi="Calibri"/>
                <w:b/>
                <w:color w:val="FFFFFF"/>
                <w:sz w:val="22"/>
              </w:rPr>
              <w:t>EPS Consensus</w:t>
            </w:r>
          </w:p>
        </w:tc>
        <w:tc>
          <w:tcPr>
            <w:tcW w:type="dxa" w:w="960"/>
            <w:shd w:val="clear" w:color="auto" w:fill="3B4259"/>
          </w:tcPr>
          <w:p>
            <w:r>
              <w:rPr>
                <w:rFonts w:ascii="Calibri" w:hAnsi="Calibri"/>
                <w:b/>
                <w:color w:val="FFFFFF"/>
                <w:sz w:val="22"/>
              </w:rPr>
              <w:t>EPS Surprise</w:t>
            </w:r>
          </w:p>
        </w:tc>
        <w:tc>
          <w:tcPr>
            <w:tcW w:type="dxa" w:w="960"/>
            <w:shd w:val="clear" w:color="auto" w:fill="3B4259"/>
          </w:tcPr>
          <w:p>
            <w:r>
              <w:rPr>
                <w:rFonts w:ascii="Calibri" w:hAnsi="Calibri"/>
                <w:b/>
                <w:color w:val="FFFFFF"/>
                <w:sz w:val="22"/>
              </w:rPr>
              <w:t>EPS Result</w:t>
            </w:r>
          </w:p>
        </w:tc>
      </w:tr>
      <w:tr>
        <w:tc>
          <w:tcPr>
            <w:tcW w:type="dxa" w:w="960"/>
          </w:tcPr>
          <w:p>
            <w:r>
              <w:rPr>
                <w:rFonts w:ascii="Calibri" w:hAnsi="Calibri"/>
                <w:sz w:val="22"/>
              </w:rPr>
              <w:t>Q1 2026</w:t>
            </w:r>
          </w:p>
        </w:tc>
        <w:tc>
          <w:tcPr>
            <w:tcW w:type="dxa" w:w="960"/>
          </w:tcPr>
          <w:p>
            <w:r>
              <w:rPr>
                <w:rFonts w:ascii="Calibri" w:hAnsi="Calibri"/>
                <w:sz w:val="22"/>
              </w:rPr>
              <w:t>$1,059.4M</w:t>
            </w:r>
          </w:p>
        </w:tc>
        <w:tc>
          <w:tcPr>
            <w:tcW w:type="dxa" w:w="960"/>
          </w:tcPr>
          <w:p>
            <w:r>
              <w:rPr>
                <w:rFonts w:ascii="Calibri" w:hAnsi="Calibri"/>
                <w:sz w:val="22"/>
              </w:rPr>
              <w:t>$1,047.5M</w:t>
            </w:r>
          </w:p>
        </w:tc>
        <w:tc>
          <w:tcPr>
            <w:tcW w:type="dxa" w:w="960"/>
          </w:tcPr>
          <w:p>
            <w:r>
              <w:rPr>
                <w:rFonts w:ascii="Calibri" w:hAnsi="Calibri"/>
                <w:sz w:val="22"/>
              </w:rPr>
              <w:t>+1.1%</w:t>
            </w:r>
          </w:p>
        </w:tc>
        <w:tc>
          <w:tcPr>
            <w:tcW w:type="dxa" w:w="960"/>
          </w:tcPr>
          <w:p>
            <w:r>
              <w:rPr>
                <w:rFonts w:ascii="Calibri" w:hAnsi="Calibri"/>
                <w:b/>
                <w:color w:val="30A46C"/>
                <w:sz w:val="22"/>
              </w:rPr>
              <w:t>Beat</w:t>
            </w:r>
          </w:p>
        </w:tc>
        <w:tc>
          <w:tcPr>
            <w:tcW w:type="dxa" w:w="960"/>
          </w:tcPr>
          <w:p>
            <w:r>
              <w:rPr>
                <w:rFonts w:ascii="Calibri" w:hAnsi="Calibri"/>
                <w:sz w:val="22"/>
              </w:rPr>
              <w:t>$1.80</w:t>
            </w:r>
          </w:p>
        </w:tc>
        <w:tc>
          <w:tcPr>
            <w:tcW w:type="dxa" w:w="960"/>
          </w:tcPr>
          <w:p>
            <w:r>
              <w:rPr>
                <w:rFonts w:ascii="Calibri" w:hAnsi="Calibri"/>
                <w:sz w:val="22"/>
              </w:rPr>
              <w:t>$1.33</w:t>
            </w:r>
          </w:p>
        </w:tc>
        <w:tc>
          <w:tcPr>
            <w:tcW w:type="dxa" w:w="960"/>
          </w:tcPr>
          <w:p>
            <w:r>
              <w:rPr>
                <w:rFonts w:ascii="Calibri" w:hAnsi="Calibri"/>
                <w:sz w:val="22"/>
              </w:rPr>
              <w:t>+35.3%</w:t>
            </w:r>
          </w:p>
        </w:tc>
        <w:tc>
          <w:tcPr>
            <w:tcW w:type="dxa" w:w="960"/>
          </w:tcPr>
          <w:p>
            <w:r>
              <w:rPr>
                <w:rFonts w:ascii="Calibri" w:hAnsi="Calibri"/>
                <w:b/>
                <w:color w:val="30A46C"/>
                <w:sz w:val="22"/>
              </w:rPr>
              <w:t>Large Beat</w:t>
            </w:r>
          </w:p>
        </w:tc>
      </w:tr>
      <w:tr>
        <w:tc>
          <w:tcPr>
            <w:tcW w:type="dxa" w:w="960"/>
          </w:tcPr>
          <w:p>
            <w:r>
              <w:rPr>
                <w:rFonts w:ascii="Calibri" w:hAnsi="Calibri"/>
                <w:sz w:val="22"/>
              </w:rPr>
              <w:t>Q4 2025</w:t>
            </w:r>
          </w:p>
        </w:tc>
        <w:tc>
          <w:tcPr>
            <w:tcW w:type="dxa" w:w="960"/>
          </w:tcPr>
          <w:p>
            <w:r>
              <w:rPr>
                <w:rFonts w:ascii="Calibri" w:hAnsi="Calibri"/>
                <w:sz w:val="22"/>
              </w:rPr>
              <w:t>$1,091.5M</w:t>
            </w:r>
          </w:p>
        </w:tc>
        <w:tc>
          <w:tcPr>
            <w:tcW w:type="dxa" w:w="960"/>
          </w:tcPr>
          <w:p>
            <w:r>
              <w:rPr>
                <w:rFonts w:ascii="Calibri" w:hAnsi="Calibri"/>
                <w:sz w:val="22"/>
              </w:rPr>
              <w:t>$1,159.9M</w:t>
            </w:r>
          </w:p>
        </w:tc>
        <w:tc>
          <w:tcPr>
            <w:tcW w:type="dxa" w:w="960"/>
          </w:tcPr>
          <w:p>
            <w:r>
              <w:rPr>
                <w:rFonts w:ascii="Calibri" w:hAnsi="Calibri"/>
                <w:sz w:val="22"/>
              </w:rPr>
              <w:t>-5.9%</w:t>
            </w:r>
          </w:p>
        </w:tc>
        <w:tc>
          <w:tcPr>
            <w:tcW w:type="dxa" w:w="960"/>
          </w:tcPr>
          <w:p>
            <w:r>
              <w:rPr>
                <w:rFonts w:ascii="Calibri" w:hAnsi="Calibri"/>
                <w:b/>
                <w:color w:val="E5484D"/>
                <w:sz w:val="22"/>
              </w:rPr>
              <w:t>Miss</w:t>
            </w:r>
          </w:p>
        </w:tc>
        <w:tc>
          <w:tcPr>
            <w:tcW w:type="dxa" w:w="960"/>
          </w:tcPr>
          <w:p>
            <w:r>
              <w:rPr>
                <w:rFonts w:ascii="Calibri" w:hAnsi="Calibri"/>
                <w:sz w:val="22"/>
              </w:rPr>
              <w:t>$1.61</w:t>
            </w:r>
          </w:p>
        </w:tc>
        <w:tc>
          <w:tcPr>
            <w:tcW w:type="dxa" w:w="960"/>
          </w:tcPr>
          <w:p>
            <w:r>
              <w:rPr>
                <w:rFonts w:ascii="Calibri" w:hAnsi="Calibri"/>
                <w:sz w:val="22"/>
              </w:rPr>
              <w:t>$1.76</w:t>
            </w:r>
          </w:p>
        </w:tc>
        <w:tc>
          <w:tcPr>
            <w:tcW w:type="dxa" w:w="960"/>
          </w:tcPr>
          <w:p>
            <w:r>
              <w:rPr>
                <w:rFonts w:ascii="Calibri" w:hAnsi="Calibri"/>
                <w:sz w:val="22"/>
              </w:rPr>
              <w:t>-8.5%</w:t>
            </w:r>
          </w:p>
        </w:tc>
        <w:tc>
          <w:tcPr>
            <w:tcW w:type="dxa" w:w="960"/>
          </w:tcPr>
          <w:p>
            <w:r>
              <w:rPr>
                <w:rFonts w:ascii="Calibri" w:hAnsi="Calibri"/>
                <w:b/>
                <w:color w:val="E5484D"/>
                <w:sz w:val="22"/>
              </w:rPr>
              <w:t>Miss</w:t>
            </w:r>
          </w:p>
        </w:tc>
      </w:tr>
      <w:tr>
        <w:tc>
          <w:tcPr>
            <w:tcW w:type="dxa" w:w="960"/>
          </w:tcPr>
          <w:p>
            <w:r>
              <w:rPr>
                <w:rFonts w:ascii="Calibri" w:hAnsi="Calibri"/>
                <w:sz w:val="22"/>
              </w:rPr>
              <w:t>Q3 2025</w:t>
            </w:r>
          </w:p>
        </w:tc>
        <w:tc>
          <w:tcPr>
            <w:tcW w:type="dxa" w:w="960"/>
          </w:tcPr>
          <w:p>
            <w:r>
              <w:rPr>
                <w:rFonts w:ascii="Calibri" w:hAnsi="Calibri"/>
                <w:sz w:val="22"/>
              </w:rPr>
              <w:t>$1,114.4M</w:t>
            </w:r>
          </w:p>
        </w:tc>
        <w:tc>
          <w:tcPr>
            <w:tcW w:type="dxa" w:w="960"/>
          </w:tcPr>
          <w:p>
            <w:r>
              <w:rPr>
                <w:rFonts w:ascii="Calibri" w:hAnsi="Calibri"/>
                <w:sz w:val="22"/>
              </w:rPr>
              <w:t>$1,192.9M</w:t>
            </w:r>
          </w:p>
        </w:tc>
        <w:tc>
          <w:tcPr>
            <w:tcW w:type="dxa" w:w="960"/>
          </w:tcPr>
          <w:p>
            <w:r>
              <w:rPr>
                <w:rFonts w:ascii="Calibri" w:hAnsi="Calibri"/>
                <w:sz w:val="22"/>
              </w:rPr>
              <w:t>-6.6%</w:t>
            </w:r>
          </w:p>
        </w:tc>
        <w:tc>
          <w:tcPr>
            <w:tcW w:type="dxa" w:w="960"/>
          </w:tcPr>
          <w:p>
            <w:r>
              <w:rPr>
                <w:rFonts w:ascii="Calibri" w:hAnsi="Calibri"/>
                <w:b/>
                <w:color w:val="E5484D"/>
                <w:sz w:val="22"/>
              </w:rPr>
              <w:t>Miss</w:t>
            </w:r>
          </w:p>
        </w:tc>
        <w:tc>
          <w:tcPr>
            <w:tcW w:type="dxa" w:w="960"/>
          </w:tcPr>
          <w:p>
            <w:r>
              <w:rPr>
                <w:rFonts w:ascii="Calibri" w:hAnsi="Calibri"/>
                <w:sz w:val="22"/>
              </w:rPr>
              <w:t>$1.83</w:t>
            </w:r>
          </w:p>
        </w:tc>
        <w:tc>
          <w:tcPr>
            <w:tcW w:type="dxa" w:w="960"/>
          </w:tcPr>
          <w:p>
            <w:r>
              <w:rPr>
                <w:rFonts w:ascii="Calibri" w:hAnsi="Calibri"/>
                <w:sz w:val="22"/>
              </w:rPr>
              <w:t>$2.22</w:t>
            </w:r>
          </w:p>
        </w:tc>
        <w:tc>
          <w:tcPr>
            <w:tcW w:type="dxa" w:w="960"/>
          </w:tcPr>
          <w:p>
            <w:r>
              <w:rPr>
                <w:rFonts w:ascii="Calibri" w:hAnsi="Calibri"/>
                <w:sz w:val="22"/>
              </w:rPr>
              <w:t>-17.6%</w:t>
            </w:r>
          </w:p>
        </w:tc>
        <w:tc>
          <w:tcPr>
            <w:tcW w:type="dxa" w:w="960"/>
          </w:tcPr>
          <w:p>
            <w:r>
              <w:rPr>
                <w:rFonts w:ascii="Calibri" w:hAnsi="Calibri"/>
                <w:b/>
                <w:color w:val="E5484D"/>
                <w:sz w:val="22"/>
              </w:rPr>
              <w:t>Miss</w:t>
            </w:r>
          </w:p>
        </w:tc>
      </w:tr>
      <w:tr>
        <w:tc>
          <w:tcPr>
            <w:tcW w:type="dxa" w:w="960"/>
          </w:tcPr>
          <w:p>
            <w:r>
              <w:rPr>
                <w:rFonts w:ascii="Calibri" w:hAnsi="Calibri"/>
                <w:sz w:val="22"/>
              </w:rPr>
              <w:t>Q2 2025</w:t>
            </w:r>
          </w:p>
        </w:tc>
        <w:tc>
          <w:tcPr>
            <w:tcW w:type="dxa" w:w="960"/>
          </w:tcPr>
          <w:p>
            <w:r>
              <w:rPr>
                <w:rFonts w:ascii="Calibri" w:hAnsi="Calibri"/>
                <w:sz w:val="22"/>
              </w:rPr>
              <w:t>$1,061.2M</w:t>
            </w:r>
          </w:p>
        </w:tc>
        <w:tc>
          <w:tcPr>
            <w:tcW w:type="dxa" w:w="960"/>
          </w:tcPr>
          <w:p>
            <w:r>
              <w:rPr>
                <w:rFonts w:ascii="Calibri" w:hAnsi="Calibri"/>
                <w:sz w:val="22"/>
              </w:rPr>
              <w:t>$1,026.8M</w:t>
            </w:r>
          </w:p>
        </w:tc>
        <w:tc>
          <w:tcPr>
            <w:tcW w:type="dxa" w:w="960"/>
          </w:tcPr>
          <w:p>
            <w:r>
              <w:rPr>
                <w:rFonts w:ascii="Calibri" w:hAnsi="Calibri"/>
                <w:sz w:val="22"/>
              </w:rPr>
              <w:t>+3.3%</w:t>
            </w:r>
          </w:p>
        </w:tc>
        <w:tc>
          <w:tcPr>
            <w:tcW w:type="dxa" w:w="960"/>
          </w:tcPr>
          <w:p>
            <w:r>
              <w:rPr>
                <w:rFonts w:ascii="Calibri" w:hAnsi="Calibri"/>
                <w:b/>
                <w:color w:val="30A46C"/>
                <w:sz w:val="22"/>
              </w:rPr>
              <w:t>Beat</w:t>
            </w:r>
          </w:p>
        </w:tc>
        <w:tc>
          <w:tcPr>
            <w:tcW w:type="dxa" w:w="960"/>
          </w:tcPr>
          <w:p>
            <w:r>
              <w:rPr>
                <w:rFonts w:ascii="Calibri" w:hAnsi="Calibri"/>
                <w:sz w:val="22"/>
              </w:rPr>
              <w:t>$1.65</w:t>
            </w:r>
          </w:p>
        </w:tc>
        <w:tc>
          <w:tcPr>
            <w:tcW w:type="dxa" w:w="960"/>
          </w:tcPr>
          <w:p>
            <w:r>
              <w:rPr>
                <w:rFonts w:ascii="Calibri" w:hAnsi="Calibri"/>
                <w:sz w:val="22"/>
              </w:rPr>
              <w:t>$1.32</w:t>
            </w:r>
          </w:p>
        </w:tc>
        <w:tc>
          <w:tcPr>
            <w:tcW w:type="dxa" w:w="960"/>
          </w:tcPr>
          <w:p>
            <w:r>
              <w:rPr>
                <w:rFonts w:ascii="Calibri" w:hAnsi="Calibri"/>
                <w:sz w:val="22"/>
              </w:rPr>
              <w:t>+25.0%</w:t>
            </w:r>
          </w:p>
        </w:tc>
        <w:tc>
          <w:tcPr>
            <w:tcW w:type="dxa" w:w="960"/>
          </w:tcPr>
          <w:p>
            <w:r>
              <w:rPr>
                <w:rFonts w:ascii="Calibri" w:hAnsi="Calibri"/>
                <w:b/>
                <w:color w:val="30A46C"/>
                <w:sz w:val="22"/>
              </w:rPr>
              <w:t>Beat</w:t>
            </w:r>
          </w:p>
        </w:tc>
      </w:tr>
      <w:tr>
        <w:tc>
          <w:tcPr>
            <w:tcW w:type="dxa" w:w="960"/>
          </w:tcPr>
          <w:p>
            <w:r>
              <w:rPr>
                <w:rFonts w:ascii="Calibri" w:hAnsi="Calibri"/>
                <w:sz w:val="22"/>
              </w:rPr>
              <w:t>Q1 2025</w:t>
            </w:r>
          </w:p>
        </w:tc>
        <w:tc>
          <w:tcPr>
            <w:tcW w:type="dxa" w:w="960"/>
          </w:tcPr>
          <w:p>
            <w:r>
              <w:rPr>
                <w:rFonts w:ascii="Calibri" w:hAnsi="Calibri"/>
                <w:sz w:val="22"/>
              </w:rPr>
              <w:t>$942.1M</w:t>
            </w:r>
          </w:p>
        </w:tc>
        <w:tc>
          <w:tcPr>
            <w:tcW w:type="dxa" w:w="960"/>
          </w:tcPr>
          <w:p>
            <w:r>
              <w:rPr>
                <w:rFonts w:ascii="Calibri" w:hAnsi="Calibri"/>
                <w:sz w:val="22"/>
              </w:rPr>
              <w:t>$919.4M</w:t>
            </w:r>
          </w:p>
        </w:tc>
        <w:tc>
          <w:tcPr>
            <w:tcW w:type="dxa" w:w="960"/>
          </w:tcPr>
          <w:p>
            <w:r>
              <w:rPr>
                <w:rFonts w:ascii="Calibri" w:hAnsi="Calibri"/>
                <w:sz w:val="22"/>
              </w:rPr>
              <w:t>+2.5%</w:t>
            </w:r>
          </w:p>
        </w:tc>
        <w:tc>
          <w:tcPr>
            <w:tcW w:type="dxa" w:w="960"/>
          </w:tcPr>
          <w:p>
            <w:r>
              <w:rPr>
                <w:rFonts w:ascii="Calibri" w:hAnsi="Calibri"/>
                <w:b/>
                <w:color w:val="30A46C"/>
                <w:sz w:val="22"/>
              </w:rPr>
              <w:t>Beat</w:t>
            </w:r>
          </w:p>
        </w:tc>
        <w:tc>
          <w:tcPr>
            <w:tcW w:type="dxa" w:w="960"/>
          </w:tcPr>
          <w:p>
            <w:r>
              <w:rPr>
                <w:rFonts w:ascii="Calibri" w:hAnsi="Calibri"/>
                <w:sz w:val="22"/>
              </w:rPr>
              <w:t>$1.26</w:t>
            </w:r>
          </w:p>
        </w:tc>
        <w:tc>
          <w:tcPr>
            <w:tcW w:type="dxa" w:w="960"/>
          </w:tcPr>
          <w:p>
            <w:r>
              <w:rPr>
                <w:rFonts w:ascii="Calibri" w:hAnsi="Calibri"/>
                <w:sz w:val="22"/>
              </w:rPr>
              <w:t>$0.99</w:t>
            </w:r>
          </w:p>
        </w:tc>
        <w:tc>
          <w:tcPr>
            <w:tcW w:type="dxa" w:w="960"/>
          </w:tcPr>
          <w:p>
            <w:r>
              <w:rPr>
                <w:rFonts w:ascii="Calibri" w:hAnsi="Calibri"/>
                <w:sz w:val="22"/>
              </w:rPr>
              <w:t>+27.3%</w:t>
            </w:r>
          </w:p>
        </w:tc>
        <w:tc>
          <w:tcPr>
            <w:tcW w:type="dxa" w:w="960"/>
          </w:tcPr>
          <w:p>
            <w:r>
              <w:rPr>
                <w:rFonts w:ascii="Calibri" w:hAnsi="Calibri"/>
                <w:b/>
                <w:color w:val="30A46C"/>
                <w:sz w:val="22"/>
              </w:rPr>
              <w:t>Beat</w:t>
            </w:r>
          </w:p>
        </w:tc>
      </w:tr>
      <w:tr>
        <w:tc>
          <w:tcPr>
            <w:tcW w:type="dxa" w:w="960"/>
          </w:tcPr>
          <w:p>
            <w:r>
              <w:rPr>
                <w:rFonts w:ascii="Calibri" w:hAnsi="Calibri"/>
                <w:sz w:val="22"/>
              </w:rPr>
              <w:t>Q4 2024</w:t>
            </w:r>
          </w:p>
        </w:tc>
        <w:tc>
          <w:tcPr>
            <w:tcW w:type="dxa" w:w="960"/>
          </w:tcPr>
          <w:p>
            <w:r>
              <w:rPr>
                <w:rFonts w:ascii="Calibri" w:hAnsi="Calibri"/>
                <w:sz w:val="22"/>
              </w:rPr>
              <w:t>$1,234.8M</w:t>
            </w:r>
          </w:p>
        </w:tc>
        <w:tc>
          <w:tcPr>
            <w:tcW w:type="dxa" w:w="960"/>
          </w:tcPr>
          <w:p>
            <w:r>
              <w:rPr>
                <w:rFonts w:ascii="Calibri" w:hAnsi="Calibri"/>
                <w:sz w:val="22"/>
              </w:rPr>
              <w:t>$1,243.4M</w:t>
            </w:r>
          </w:p>
        </w:tc>
        <w:tc>
          <w:tcPr>
            <w:tcW w:type="dxa" w:w="960"/>
          </w:tcPr>
          <w:p>
            <w:r>
              <w:rPr>
                <w:rFonts w:ascii="Calibri" w:hAnsi="Calibri"/>
                <w:sz w:val="22"/>
              </w:rPr>
              <w:t>-0.7%</w:t>
            </w:r>
          </w:p>
        </w:tc>
        <w:tc>
          <w:tcPr>
            <w:tcW w:type="dxa" w:w="960"/>
          </w:tcPr>
          <w:p>
            <w:r>
              <w:rPr>
                <w:rFonts w:ascii="Calibri" w:hAnsi="Calibri"/>
                <w:sz w:val="22"/>
              </w:rPr>
              <w:t>Slight Miss</w:t>
            </w:r>
          </w:p>
        </w:tc>
        <w:tc>
          <w:tcPr>
            <w:tcW w:type="dxa" w:w="960"/>
          </w:tcPr>
          <w:p>
            <w:r>
              <w:rPr>
                <w:rFonts w:ascii="Calibri" w:hAnsi="Calibri"/>
                <w:sz w:val="22"/>
              </w:rPr>
              <w:t>$2.80</w:t>
            </w:r>
          </w:p>
        </w:tc>
        <w:tc>
          <w:tcPr>
            <w:tcW w:type="dxa" w:w="960"/>
          </w:tcPr>
          <w:p>
            <w:r>
              <w:rPr>
                <w:rFonts w:ascii="Calibri" w:hAnsi="Calibri"/>
                <w:sz w:val="22"/>
              </w:rPr>
              <w:t>$2.52</w:t>
            </w:r>
          </w:p>
        </w:tc>
        <w:tc>
          <w:tcPr>
            <w:tcW w:type="dxa" w:w="960"/>
          </w:tcPr>
          <w:p>
            <w:r>
              <w:rPr>
                <w:rFonts w:ascii="Calibri" w:hAnsi="Calibri"/>
                <w:sz w:val="22"/>
              </w:rPr>
              <w:t>+11.1%</w:t>
            </w:r>
          </w:p>
        </w:tc>
        <w:tc>
          <w:tcPr>
            <w:tcW w:type="dxa" w:w="960"/>
          </w:tcPr>
          <w:p>
            <w:r>
              <w:rPr>
                <w:rFonts w:ascii="Calibri" w:hAnsi="Calibri"/>
                <w:b/>
                <w:color w:val="30A46C"/>
                <w:sz w:val="22"/>
              </w:rPr>
              <w:t>Beat</w:t>
            </w:r>
          </w:p>
        </w:tc>
      </w:tr>
      <w:tr>
        <w:tc>
          <w:tcPr>
            <w:tcW w:type="dxa" w:w="960"/>
          </w:tcPr>
          <w:p>
            <w:r>
              <w:rPr>
                <w:rFonts w:ascii="Calibri" w:hAnsi="Calibri"/>
                <w:sz w:val="22"/>
              </w:rPr>
              <w:t>Q3 2024</w:t>
            </w:r>
          </w:p>
        </w:tc>
        <w:tc>
          <w:tcPr>
            <w:tcW w:type="dxa" w:w="960"/>
          </w:tcPr>
          <w:p>
            <w:r>
              <w:rPr>
                <w:rFonts w:ascii="Calibri" w:hAnsi="Calibri"/>
                <w:sz w:val="22"/>
              </w:rPr>
              <w:t>$1,173.6M</w:t>
            </w:r>
          </w:p>
        </w:tc>
        <w:tc>
          <w:tcPr>
            <w:tcW w:type="dxa" w:w="960"/>
          </w:tcPr>
          <w:p>
            <w:r>
              <w:rPr>
                <w:rFonts w:ascii="Calibri" w:hAnsi="Calibri"/>
                <w:sz w:val="22"/>
              </w:rPr>
              <w:t>$1,162.5M</w:t>
            </w:r>
          </w:p>
        </w:tc>
        <w:tc>
          <w:tcPr>
            <w:tcW w:type="dxa" w:w="960"/>
          </w:tcPr>
          <w:p>
            <w:r>
              <w:rPr>
                <w:rFonts w:ascii="Calibri" w:hAnsi="Calibri"/>
                <w:sz w:val="22"/>
              </w:rPr>
              <w:t>+1.0%</w:t>
            </w:r>
          </w:p>
        </w:tc>
        <w:tc>
          <w:tcPr>
            <w:tcW w:type="dxa" w:w="960"/>
          </w:tcPr>
          <w:p>
            <w:r>
              <w:rPr>
                <w:rFonts w:ascii="Calibri" w:hAnsi="Calibri"/>
                <w:b/>
                <w:color w:val="30A46C"/>
                <w:sz w:val="22"/>
              </w:rPr>
              <w:t>Beat</w:t>
            </w:r>
          </w:p>
        </w:tc>
        <w:tc>
          <w:tcPr>
            <w:tcW w:type="dxa" w:w="960"/>
          </w:tcPr>
          <w:p>
            <w:r>
              <w:rPr>
                <w:rFonts w:ascii="Calibri" w:hAnsi="Calibri"/>
                <w:sz w:val="22"/>
              </w:rPr>
              <w:t>$2.25</w:t>
            </w:r>
          </w:p>
        </w:tc>
        <w:tc>
          <w:tcPr>
            <w:tcW w:type="dxa" w:w="960"/>
          </w:tcPr>
          <w:p>
            <w:r>
              <w:rPr>
                <w:rFonts w:ascii="Calibri" w:hAnsi="Calibri"/>
                <w:sz w:val="22"/>
              </w:rPr>
              <w:t>$1.99</w:t>
            </w:r>
          </w:p>
        </w:tc>
        <w:tc>
          <w:tcPr>
            <w:tcW w:type="dxa" w:w="960"/>
          </w:tcPr>
          <w:p>
            <w:r>
              <w:rPr>
                <w:rFonts w:ascii="Calibri" w:hAnsi="Calibri"/>
                <w:sz w:val="22"/>
              </w:rPr>
              <w:t>+13.1%</w:t>
            </w:r>
          </w:p>
        </w:tc>
        <w:tc>
          <w:tcPr>
            <w:tcW w:type="dxa" w:w="960"/>
          </w:tcPr>
          <w:p>
            <w:r>
              <w:rPr>
                <w:rFonts w:ascii="Calibri" w:hAnsi="Calibri"/>
                <w:b/>
                <w:color w:val="30A46C"/>
                <w:sz w:val="22"/>
              </w:rPr>
              <w:t>Beat</w:t>
            </w:r>
          </w:p>
        </w:tc>
      </w:tr>
      <w:tr>
        <w:tc>
          <w:tcPr>
            <w:tcW w:type="dxa" w:w="960"/>
          </w:tcPr>
          <w:p>
            <w:r>
              <w:rPr>
                <w:rFonts w:ascii="Calibri" w:hAnsi="Calibri"/>
                <w:sz w:val="22"/>
              </w:rPr>
              <w:t>Q2 2024</w:t>
            </w:r>
          </w:p>
        </w:tc>
        <w:tc>
          <w:tcPr>
            <w:tcW w:type="dxa" w:w="960"/>
          </w:tcPr>
          <w:p>
            <w:r>
              <w:rPr>
                <w:rFonts w:ascii="Calibri" w:hAnsi="Calibri"/>
                <w:sz w:val="22"/>
              </w:rPr>
              <w:t>$998.2M</w:t>
            </w:r>
          </w:p>
        </w:tc>
        <w:tc>
          <w:tcPr>
            <w:tcW w:type="dxa" w:w="960"/>
          </w:tcPr>
          <w:p>
            <w:r>
              <w:rPr>
                <w:rFonts w:ascii="Calibri" w:hAnsi="Calibri"/>
                <w:sz w:val="22"/>
              </w:rPr>
              <w:t>$999.9M</w:t>
            </w:r>
          </w:p>
        </w:tc>
        <w:tc>
          <w:tcPr>
            <w:tcW w:type="dxa" w:w="960"/>
          </w:tcPr>
          <w:p>
            <w:r>
              <w:rPr>
                <w:rFonts w:ascii="Calibri" w:hAnsi="Calibri"/>
                <w:sz w:val="22"/>
              </w:rPr>
              <w:t>-0.2%</w:t>
            </w:r>
          </w:p>
        </w:tc>
        <w:tc>
          <w:tcPr>
            <w:tcW w:type="dxa" w:w="960"/>
          </w:tcPr>
          <w:p>
            <w:r>
              <w:rPr>
                <w:rFonts w:ascii="Calibri" w:hAnsi="Calibri"/>
                <w:sz w:val="22"/>
              </w:rPr>
              <w:t>In Line</w:t>
            </w:r>
          </w:p>
        </w:tc>
        <w:tc>
          <w:tcPr>
            <w:tcW w:type="dxa" w:w="960"/>
          </w:tcPr>
          <w:p>
            <w:r>
              <w:rPr>
                <w:rFonts w:ascii="Calibri" w:hAnsi="Calibri"/>
                <w:sz w:val="22"/>
              </w:rPr>
              <w:t>$1.35</w:t>
            </w:r>
          </w:p>
        </w:tc>
        <w:tc>
          <w:tcPr>
            <w:tcW w:type="dxa" w:w="960"/>
          </w:tcPr>
          <w:p>
            <w:r>
              <w:rPr>
                <w:rFonts w:ascii="Calibri" w:hAnsi="Calibri"/>
                <w:sz w:val="22"/>
              </w:rPr>
              <w:t>$1.22</w:t>
            </w:r>
          </w:p>
        </w:tc>
        <w:tc>
          <w:tcPr>
            <w:tcW w:type="dxa" w:w="960"/>
          </w:tcPr>
          <w:p>
            <w:r>
              <w:rPr>
                <w:rFonts w:ascii="Calibri" w:hAnsi="Calibri"/>
                <w:sz w:val="22"/>
              </w:rPr>
              <w:t>+10.7%</w:t>
            </w:r>
          </w:p>
        </w:tc>
        <w:tc>
          <w:tcPr>
            <w:tcW w:type="dxa" w:w="96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GNRC has a strong EPS beat history (7 of 8 quarters), but revenue has been more mixed — the Q3/Q4 2025 misses were driven by the weak outage environment. Q1 2026's massive EPS beat (+35%) was driven by cost savings and margin expansion, not just revenue. The Street has historically underestimated GNRC's margin leverage.</w:t>
      </w:r>
    </w:p>
    <w:p>
      <w:r>
        <w:br w:type="page"/>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color w:val="525866"/>
          <w:sz w:val="22"/>
        </w:rPr>
        <w:t xml:space="preserve">Management raised FY 2026 guidance on the Q1 call and has made </w:t>
      </w:r>
      <w:r>
        <w:rPr>
          <w:rFonts w:ascii="Calibri" w:hAnsi="Calibri"/>
          <w:b/>
          <w:color w:val="525866"/>
          <w:sz w:val="22"/>
        </w:rPr>
        <w:t>no formal revisions since</w:t>
      </w:r>
      <w:r>
        <w:rPr>
          <w:rFonts w:ascii="Calibri" w:hAnsi="Calibri"/>
          <w:color w:val="525866"/>
          <w:sz w:val="22"/>
        </w:rPr>
        <w:t>. The June 2 hyperscale supply agreement and June 15 Belvidere facility acquisition are positive incremental developments but did not come with updated financial guidance.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Net Sales Growth</w:t>
            </w:r>
          </w:p>
        </w:tc>
        <w:tc>
          <w:tcPr>
            <w:tcW w:type="dxa" w:w="1728"/>
          </w:tcPr>
          <w:p>
            <w:r>
              <w:rPr>
                <w:rFonts w:ascii="Calibri" w:hAnsi="Calibri"/>
                <w:sz w:val="22"/>
              </w:rPr>
              <w:t>Mid-to-high teens %</w:t>
            </w:r>
          </w:p>
        </w:tc>
        <w:tc>
          <w:tcPr>
            <w:tcW w:type="dxa" w:w="1728"/>
          </w:tcPr>
          <w:p>
            <w:r>
              <w:rPr>
                <w:rFonts w:ascii="Calibri" w:hAnsi="Calibri"/>
                <w:sz w:val="22"/>
              </w:rPr>
              <w:t>—</w:t>
            </w:r>
          </w:p>
        </w:tc>
        <w:tc>
          <w:tcPr>
            <w:tcW w:type="dxa" w:w="1728"/>
          </w:tcPr>
          <w:p>
            <w:r>
              <w:rPr>
                <w:rFonts w:ascii="Calibri" w:hAnsi="Calibri"/>
                <w:sz w:val="22"/>
              </w:rPr>
              <w:t>~$4.93B (+15.5% YoY)</w:t>
            </w:r>
          </w:p>
        </w:tc>
        <w:tc>
          <w:tcPr>
            <w:tcW w:type="dxa" w:w="1728"/>
          </w:tcPr>
          <w:p>
            <w:r>
              <w:rPr>
                <w:rFonts w:ascii="Calibri" w:hAnsi="Calibri"/>
                <w:sz w:val="22"/>
              </w:rPr>
              <w:t>No formal revision since Q1 call</w:t>
            </w:r>
          </w:p>
        </w:tc>
      </w:tr>
      <w:tr>
        <w:tc>
          <w:tcPr>
            <w:tcW w:type="dxa" w:w="1728"/>
          </w:tcPr>
          <w:p>
            <w:r>
              <w:rPr>
                <w:rFonts w:ascii="Calibri" w:hAnsi="Calibri"/>
                <w:sz w:val="22"/>
              </w:rPr>
              <w:t>Q2 2026 Net Sales Growth</w:t>
            </w:r>
          </w:p>
        </w:tc>
        <w:tc>
          <w:tcPr>
            <w:tcW w:type="dxa" w:w="1728"/>
          </w:tcPr>
          <w:p>
            <w:r>
              <w:rPr>
                <w:rFonts w:ascii="Calibri" w:hAnsi="Calibri"/>
                <w:sz w:val="22"/>
              </w:rPr>
              <w:t>~9–10%</w:t>
            </w:r>
          </w:p>
        </w:tc>
        <w:tc>
          <w:tcPr>
            <w:tcW w:type="dxa" w:w="1728"/>
          </w:tcPr>
          <w:p>
            <w:r>
              <w:rPr>
                <w:rFonts w:ascii="Calibri" w:hAnsi="Calibri"/>
                <w:sz w:val="22"/>
              </w:rPr>
              <w:t>—</w:t>
            </w:r>
          </w:p>
        </w:tc>
        <w:tc>
          <w:tcPr>
            <w:tcW w:type="dxa" w:w="1728"/>
          </w:tcPr>
          <w:p>
            <w:r>
              <w:rPr>
                <w:rFonts w:ascii="Calibri" w:hAnsi="Calibri"/>
                <w:sz w:val="22"/>
              </w:rPr>
              <w:t>~$1.18B (+11.2% YoY)</w:t>
            </w:r>
          </w:p>
        </w:tc>
        <w:tc>
          <w:tcPr>
            <w:tcW w:type="dxa" w:w="1728"/>
          </w:tcPr>
          <w:p>
            <w:r>
              <w:rPr>
                <w:rFonts w:ascii="Calibri" w:hAnsi="Calibri"/>
                <w:sz w:val="22"/>
              </w:rPr>
              <w:t>Consensus slightly above guidance midpoint</w:t>
            </w:r>
          </w:p>
        </w:tc>
      </w:tr>
      <w:tr>
        <w:tc>
          <w:tcPr>
            <w:tcW w:type="dxa" w:w="1728"/>
          </w:tcPr>
          <w:p>
            <w:r>
              <w:rPr>
                <w:rFonts w:ascii="Calibri" w:hAnsi="Calibri"/>
                <w:sz w:val="22"/>
              </w:rPr>
              <w:t>FY 2026 Adj. EBITDA Margin</w:t>
            </w:r>
          </w:p>
        </w:tc>
        <w:tc>
          <w:tcPr>
            <w:tcW w:type="dxa" w:w="1728"/>
          </w:tcPr>
          <w:p>
            <w:r>
              <w:rPr>
                <w:rFonts w:ascii="Calibri" w:hAnsi="Calibri"/>
                <w:sz w:val="22"/>
              </w:rPr>
              <w:t>18.5–19.5%</w:t>
            </w:r>
          </w:p>
        </w:tc>
        <w:tc>
          <w:tcPr>
            <w:tcW w:type="dxa" w:w="1728"/>
          </w:tcPr>
          <w:p>
            <w:r>
              <w:rPr>
                <w:rFonts w:ascii="Calibri" w:hAnsi="Calibri"/>
                <w:sz w:val="22"/>
              </w:rPr>
              <w:t>—</w:t>
            </w:r>
          </w:p>
        </w:tc>
        <w:tc>
          <w:tcPr>
            <w:tcW w:type="dxa" w:w="1728"/>
          </w:tcPr>
          <w:p>
            <w:r>
              <w:rPr>
                <w:rFonts w:ascii="Calibri" w:hAnsi="Calibri"/>
                <w:sz w:val="22"/>
              </w:rPr>
              <w:t>19.1%</w:t>
            </w:r>
          </w:p>
        </w:tc>
        <w:tc>
          <w:tcPr>
            <w:tcW w:type="dxa" w:w="1728"/>
          </w:tcPr>
          <w:p>
            <w:r>
              <w:rPr>
                <w:rFonts w:ascii="Calibri" w:hAnsi="Calibri"/>
                <w:sz w:val="22"/>
              </w:rPr>
              <w:t>Consensus at midpoint</w:t>
            </w:r>
          </w:p>
        </w:tc>
      </w:tr>
      <w:tr>
        <w:tc>
          <w:tcPr>
            <w:tcW w:type="dxa" w:w="1728"/>
          </w:tcPr>
          <w:p>
            <w:r>
              <w:rPr>
                <w:rFonts w:ascii="Calibri" w:hAnsi="Calibri"/>
                <w:sz w:val="22"/>
              </w:rPr>
              <w:t>FY 2026 Gross Margin</w:t>
            </w:r>
          </w:p>
        </w:tc>
        <w:tc>
          <w:tcPr>
            <w:tcW w:type="dxa" w:w="1728"/>
          </w:tcPr>
          <w:p>
            <w:r>
              <w:rPr>
                <w:rFonts w:ascii="Calibri" w:hAnsi="Calibri"/>
                <w:sz w:val="22"/>
              </w:rPr>
              <w:t>38.5–39.5%</w:t>
            </w:r>
          </w:p>
        </w:tc>
        <w:tc>
          <w:tcPr>
            <w:tcW w:type="dxa" w:w="1728"/>
          </w:tcPr>
          <w:p>
            <w:r>
              <w:rPr>
                <w:rFonts w:ascii="Calibri" w:hAnsi="Calibri"/>
                <w:sz w:val="22"/>
              </w:rPr>
              <w:t>—</w:t>
            </w:r>
          </w:p>
        </w:tc>
        <w:tc>
          <w:tcPr>
            <w:tcW w:type="dxa" w:w="1728"/>
          </w:tcPr>
          <w:p>
            <w:r>
              <w:rPr>
                <w:rFonts w:ascii="Calibri" w:hAnsi="Calibri"/>
                <w:sz w:val="22"/>
              </w:rPr>
              <w:t>38.9%</w:t>
            </w:r>
          </w:p>
        </w:tc>
        <w:tc>
          <w:tcPr>
            <w:tcW w:type="dxa" w:w="1728"/>
          </w:tcPr>
          <w:p>
            <w:r>
              <w:rPr>
                <w:rFonts w:ascii="Calibri" w:hAnsi="Calibri"/>
                <w:sz w:val="22"/>
              </w:rPr>
              <w:t>In range</w:t>
            </w:r>
          </w:p>
        </w:tc>
      </w:tr>
      <w:tr>
        <w:tc>
          <w:tcPr>
            <w:tcW w:type="dxa" w:w="1728"/>
          </w:tcPr>
          <w:p>
            <w:r>
              <w:rPr>
                <w:rFonts w:ascii="Calibri" w:hAnsi="Calibri"/>
                <w:sz w:val="22"/>
              </w:rPr>
              <w:t>FY 2026 Free Cash Flow</w:t>
            </w:r>
          </w:p>
        </w:tc>
        <w:tc>
          <w:tcPr>
            <w:tcW w:type="dxa" w:w="1728"/>
          </w:tcPr>
          <w:p>
            <w:r>
              <w:rPr>
                <w:rFonts w:ascii="Calibri" w:hAnsi="Calibri"/>
                <w:sz w:val="22"/>
              </w:rPr>
              <w:t>~$350M</w:t>
            </w:r>
          </w:p>
        </w:tc>
        <w:tc>
          <w:tcPr>
            <w:tcW w:type="dxa" w:w="1728"/>
          </w:tcPr>
          <w:p>
            <w:r>
              <w:rPr>
                <w:rFonts w:ascii="Calibri" w:hAnsi="Calibri"/>
                <w:sz w:val="22"/>
              </w:rPr>
              <w:t>—</w:t>
            </w:r>
          </w:p>
        </w:tc>
        <w:tc>
          <w:tcPr>
            <w:tcW w:type="dxa" w:w="1728"/>
          </w:tcPr>
          <w:p>
            <w:r>
              <w:rPr>
                <w:rFonts w:ascii="Calibri" w:hAnsi="Calibri"/>
                <w:sz w:val="22"/>
              </w:rPr>
              <w:t>~$360M</w:t>
            </w:r>
          </w:p>
        </w:tc>
        <w:tc>
          <w:tcPr>
            <w:tcW w:type="dxa" w:w="1728"/>
          </w:tcPr>
          <w:p>
            <w:r>
              <w:rPr>
                <w:rFonts w:ascii="Calibri" w:hAnsi="Calibri"/>
                <w:sz w:val="22"/>
              </w:rPr>
              <w:t>Consensus slightly above</w:t>
            </w:r>
          </w:p>
        </w:tc>
      </w:tr>
      <w:tr>
        <w:tc>
          <w:tcPr>
            <w:tcW w:type="dxa" w:w="1728"/>
          </w:tcPr>
          <w:p>
            <w:r>
              <w:rPr>
                <w:rFonts w:ascii="Calibri" w:hAnsi="Calibri"/>
                <w:sz w:val="22"/>
              </w:rPr>
              <w:t>C&amp;I Segment Growth</w:t>
            </w:r>
          </w:p>
        </w:tc>
        <w:tc>
          <w:tcPr>
            <w:tcW w:type="dxa" w:w="1728"/>
          </w:tcPr>
          <w:p>
            <w:r>
              <w:rPr>
                <w:rFonts w:ascii="Calibri" w:hAnsi="Calibri"/>
                <w:sz w:val="22"/>
              </w:rPr>
              <w:t>Mid-to-high 20%</w:t>
            </w:r>
          </w:p>
        </w:tc>
        <w:tc>
          <w:tcPr>
            <w:tcW w:type="dxa" w:w="1728"/>
          </w:tcPr>
          <w:p>
            <w:r>
              <w:rPr>
                <w:rFonts w:ascii="Calibri" w:hAnsi="Calibri"/>
                <w:sz w:val="22"/>
              </w:rPr>
              <w:t>—</w:t>
            </w:r>
          </w:p>
        </w:tc>
        <w:tc>
          <w:tcPr>
            <w:tcW w:type="dxa" w:w="1728"/>
          </w:tcPr>
          <w:p>
            <w:r>
              <w:rPr>
                <w:rFonts w:ascii="Calibri" w:hAnsi="Calibri"/>
                <w:sz w:val="22"/>
              </w:rPr>
              <w:t>~$2.21B (+24.5% YoY)</w:t>
            </w:r>
          </w:p>
        </w:tc>
        <w:tc>
          <w:tcPr>
            <w:tcW w:type="dxa" w:w="1728"/>
          </w:tcPr>
          <w:p>
            <w:r>
              <w:rPr>
                <w:rFonts w:ascii="Calibri" w:hAnsi="Calibri"/>
                <w:sz w:val="22"/>
              </w:rPr>
              <w:t>In line with guidance</w:t>
            </w:r>
          </w:p>
        </w:tc>
      </w:tr>
      <w:tr>
        <w:tc>
          <w:tcPr>
            <w:tcW w:type="dxa" w:w="1728"/>
          </w:tcPr>
          <w:p>
            <w:r>
              <w:rPr>
                <w:rFonts w:ascii="Calibri" w:hAnsi="Calibri"/>
                <w:sz w:val="22"/>
              </w:rPr>
              <w:t>Residential Segment Growth</w:t>
            </w:r>
          </w:p>
        </w:tc>
        <w:tc>
          <w:tcPr>
            <w:tcW w:type="dxa" w:w="1728"/>
          </w:tcPr>
          <w:p>
            <w:r>
              <w:rPr>
                <w:rFonts w:ascii="Calibri" w:hAnsi="Calibri"/>
                <w:sz w:val="22"/>
              </w:rPr>
              <w:t>~10%</w:t>
            </w:r>
          </w:p>
        </w:tc>
        <w:tc>
          <w:tcPr>
            <w:tcW w:type="dxa" w:w="1728"/>
          </w:tcPr>
          <w:p>
            <w:r>
              <w:rPr>
                <w:rFonts w:ascii="Calibri" w:hAnsi="Calibri"/>
                <w:sz w:val="22"/>
              </w:rPr>
              <w:t>—</w:t>
            </w:r>
          </w:p>
        </w:tc>
        <w:tc>
          <w:tcPr>
            <w:tcW w:type="dxa" w:w="1728"/>
          </w:tcPr>
          <w:p>
            <w:r>
              <w:rPr>
                <w:rFonts w:ascii="Calibri" w:hAnsi="Calibri"/>
                <w:sz w:val="22"/>
              </w:rPr>
              <w:t>~$2.73B (+10.0% YoY)</w:t>
            </w:r>
          </w:p>
        </w:tc>
        <w:tc>
          <w:tcPr>
            <w:tcW w:type="dxa" w:w="1728"/>
          </w:tcPr>
          <w:p>
            <w:r>
              <w:rPr>
                <w:rFonts w:ascii="Calibri" w:hAnsi="Calibri"/>
                <w:sz w:val="22"/>
              </w:rPr>
              <w:t>In line with guidance</w:t>
            </w:r>
          </w:p>
        </w:tc>
      </w:tr>
      <w:tr>
        <w:tc>
          <w:tcPr>
            <w:tcW w:type="dxa" w:w="1728"/>
          </w:tcPr>
          <w:p>
            <w:r>
              <w:rPr>
                <w:rFonts w:ascii="Calibri" w:hAnsi="Calibri"/>
                <w:sz w:val="22"/>
              </w:rPr>
              <w:t>Q2 2026 Adj. EBITDA Margin</w:t>
            </w:r>
          </w:p>
        </w:tc>
        <w:tc>
          <w:tcPr>
            <w:tcW w:type="dxa" w:w="1728"/>
          </w:tcPr>
          <w:p>
            <w:r>
              <w:rPr>
                <w:rFonts w:ascii="Calibri" w:hAnsi="Calibri"/>
                <w:sz w:val="22"/>
              </w:rPr>
              <w:t>~18% range</w:t>
            </w:r>
          </w:p>
        </w:tc>
        <w:tc>
          <w:tcPr>
            <w:tcW w:type="dxa" w:w="1728"/>
          </w:tcPr>
          <w:p>
            <w:r>
              <w:rPr>
                <w:rFonts w:ascii="Calibri" w:hAnsi="Calibri"/>
                <w:sz w:val="22"/>
              </w:rPr>
              <w:t>—</w:t>
            </w:r>
          </w:p>
        </w:tc>
        <w:tc>
          <w:tcPr>
            <w:tcW w:type="dxa" w:w="1728"/>
          </w:tcPr>
          <w:p>
            <w:r>
              <w:rPr>
                <w:rFonts w:ascii="Calibri" w:hAnsi="Calibri"/>
                <w:sz w:val="22"/>
              </w:rPr>
              <w:t>18.4%</w:t>
            </w:r>
          </w:p>
        </w:tc>
        <w:tc>
          <w:tcPr>
            <w:tcW w:type="dxa" w:w="1728"/>
          </w:tcPr>
          <w:p>
            <w:r>
              <w:rPr>
                <w:rFonts w:ascii="Calibri" w:hAnsi="Calibri"/>
                <w:sz w:val="22"/>
              </w:rPr>
              <w:t>Slightly above guidance</w:t>
            </w:r>
          </w:p>
        </w:tc>
      </w:tr>
    </w:tbl>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remarkably stable since Q1 earnings — the Street is essentially holding guidance midpoints and waiting for Q2 confirmation. The </w:t>
      </w:r>
      <w:r>
        <w:rPr>
          <w:rFonts w:ascii="Calibri" w:hAnsi="Calibri"/>
          <w:b/>
          <w:color w:val="525866"/>
          <w:sz w:val="22"/>
        </w:rPr>
        <w:t>lack of upward revision despite the June 2 hyperscale deal</w:t>
      </w:r>
      <w:r>
        <w:rPr>
          <w:rFonts w:ascii="Calibri" w:hAnsi="Calibri"/>
          <w:color w:val="525866"/>
          <w:sz w:val="22"/>
        </w:rPr>
        <w:t xml:space="preserve"> suggests analysts are treating it as a 2027+ revenue event rather than a near-term catalyst.</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KPI</w:t>
            </w:r>
          </w:p>
        </w:tc>
        <w:tc>
          <w:tcPr>
            <w:tcW w:type="dxa" w:w="960"/>
            <w:shd w:val="clear" w:color="auto" w:fill="3B4259"/>
          </w:tcPr>
          <w:p>
            <w:r>
              <w:rPr>
                <w:rFonts w:ascii="Calibri" w:hAnsi="Calibri"/>
                <w:b/>
                <w:color w:val="FFFFFF"/>
                <w:sz w:val="22"/>
              </w:rPr>
              <w:t>Period</w:t>
            </w:r>
          </w:p>
        </w:tc>
        <w:tc>
          <w:tcPr>
            <w:tcW w:type="dxa" w:w="960"/>
            <w:shd w:val="clear" w:color="auto" w:fill="3B4259"/>
          </w:tcPr>
          <w:p>
            <w:r>
              <w:rPr>
                <w:rFonts w:ascii="Calibri" w:hAnsi="Calibri"/>
                <w:b/>
                <w:color w:val="FFFFFF"/>
                <w:sz w:val="22"/>
              </w:rPr>
              <w:t>Estimate (May 6, 2026)</w:t>
            </w:r>
          </w:p>
        </w:tc>
        <w:tc>
          <w:tcPr>
            <w:tcW w:type="dxa" w:w="960"/>
            <w:shd w:val="clear" w:color="auto" w:fill="3B4259"/>
          </w:tcPr>
          <w:p>
            <w:r>
              <w:rPr>
                <w:rFonts w:ascii="Calibri" w:hAnsi="Calibri"/>
                <w:b/>
                <w:color w:val="FFFFFF"/>
                <w:sz w:val="22"/>
              </w:rPr>
              <w:t>Current Consensus</w:t>
            </w:r>
          </w:p>
        </w:tc>
        <w:tc>
          <w:tcPr>
            <w:tcW w:type="dxa" w:w="960"/>
            <w:shd w:val="clear" w:color="auto" w:fill="3B4259"/>
          </w:tcPr>
          <w:p>
            <w:r>
              <w:rPr>
                <w:rFonts w:ascii="Calibri" w:hAnsi="Calibri"/>
                <w:b/>
                <w:color w:val="FFFFFF"/>
                <w:sz w:val="22"/>
              </w:rPr>
              <w:t>Estimate Δ (%)</w:t>
            </w:r>
          </w:p>
        </w:tc>
        <w:tc>
          <w:tcPr>
            <w:tcW w:type="dxa" w:w="960"/>
            <w:shd w:val="clear" w:color="auto" w:fill="3B4259"/>
          </w:tcPr>
          <w:p>
            <w:r>
              <w:rPr>
                <w:rFonts w:ascii="Calibri" w:hAnsi="Calibri"/>
                <w:b/>
                <w:color w:val="FFFFFF"/>
                <w:sz w:val="22"/>
              </w:rPr>
              <w:t>Initial Guidance (Q1 Call)</w:t>
            </w:r>
          </w:p>
        </w:tc>
        <w:tc>
          <w:tcPr>
            <w:tcW w:type="dxa" w:w="960"/>
            <w:shd w:val="clear" w:color="auto" w:fill="3B4259"/>
          </w:tcPr>
          <w:p>
            <w:r>
              <w:rPr>
                <w:rFonts w:ascii="Calibri" w:hAnsi="Calibri"/>
                <w:b/>
                <w:color w:val="FFFFFF"/>
                <w:sz w:val="22"/>
              </w:rPr>
              <w:t>Current Guidance</w:t>
            </w:r>
          </w:p>
        </w:tc>
        <w:tc>
          <w:tcPr>
            <w:tcW w:type="dxa" w:w="960"/>
            <w:shd w:val="clear" w:color="auto" w:fill="3B4259"/>
          </w:tcPr>
          <w:p>
            <w:r>
              <w:rPr>
                <w:rFonts w:ascii="Calibri" w:hAnsi="Calibri"/>
                <w:b/>
                <w:color w:val="FFFFFF"/>
                <w:sz w:val="22"/>
              </w:rPr>
              <w:t>Guidance Δ</w:t>
            </w:r>
          </w:p>
        </w:tc>
        <w:tc>
          <w:tcPr>
            <w:tcW w:type="dxa" w:w="960"/>
            <w:shd w:val="clear" w:color="auto" w:fill="3B4259"/>
          </w:tcPr>
          <w:p>
            <w:r>
              <w:rPr>
                <w:rFonts w:ascii="Calibri" w:hAnsi="Calibri"/>
                <w:b/>
                <w:color w:val="FFFFFF"/>
                <w:sz w:val="22"/>
              </w:rPr>
              <w:t>Consensus vs. Guidance</w:t>
            </w:r>
          </w:p>
        </w:tc>
      </w:tr>
      <w:tr>
        <w:tc>
          <w:tcPr>
            <w:tcW w:type="dxa" w:w="960"/>
          </w:tcPr>
          <w:p>
            <w:r>
              <w:rPr>
                <w:rFonts w:ascii="Calibri" w:hAnsi="Calibri"/>
                <w:sz w:val="22"/>
              </w:rPr>
              <w:t>Net Sales</w:t>
            </w:r>
          </w:p>
        </w:tc>
        <w:tc>
          <w:tcPr>
            <w:tcW w:type="dxa" w:w="960"/>
          </w:tcPr>
          <w:p>
            <w:r>
              <w:rPr>
                <w:rFonts w:ascii="Calibri" w:hAnsi="Calibri"/>
                <w:sz w:val="22"/>
              </w:rPr>
              <w:t>Q2 2026</w:t>
            </w:r>
          </w:p>
        </w:tc>
        <w:tc>
          <w:tcPr>
            <w:tcW w:type="dxa" w:w="960"/>
          </w:tcPr>
          <w:p>
            <w:r>
              <w:rPr>
                <w:rFonts w:ascii="Calibri" w:hAnsi="Calibri"/>
                <w:sz w:val="22"/>
              </w:rPr>
              <w:t>$1,177.7M</w:t>
            </w:r>
          </w:p>
        </w:tc>
        <w:tc>
          <w:tcPr>
            <w:tcW w:type="dxa" w:w="960"/>
          </w:tcPr>
          <w:p>
            <w:r>
              <w:rPr>
                <w:rFonts w:ascii="Calibri" w:hAnsi="Calibri"/>
                <w:sz w:val="22"/>
              </w:rPr>
              <w:t>$1,180.0M</w:t>
            </w:r>
          </w:p>
        </w:tc>
        <w:tc>
          <w:tcPr>
            <w:tcW w:type="dxa" w:w="960"/>
          </w:tcPr>
          <w:p>
            <w:r>
              <w:rPr>
                <w:rFonts w:ascii="Calibri" w:hAnsi="Calibri"/>
                <w:sz w:val="22"/>
              </w:rPr>
              <w:t>+0.2%</w:t>
            </w:r>
          </w:p>
        </w:tc>
        <w:tc>
          <w:tcPr>
            <w:tcW w:type="dxa" w:w="960"/>
          </w:tcPr>
          <w:p>
            <w:r>
              <w:rPr>
                <w:rFonts w:ascii="Calibri" w:hAnsi="Calibri"/>
                <w:sz w:val="22"/>
              </w:rPr>
              <w:t>~$1,165–1,168M</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+1.0% above midpoint</w:t>
            </w:r>
          </w:p>
        </w:tc>
      </w:tr>
      <w:tr>
        <w:tc>
          <w:tcPr>
            <w:tcW w:type="dxa" w:w="960"/>
          </w:tcPr>
          <w:p>
            <w:r>
              <w:rPr>
                <w:rFonts w:ascii="Calibri" w:hAnsi="Calibri"/>
                <w:sz w:val="22"/>
              </w:rPr>
              <w:t>Net Sales</w:t>
            </w:r>
          </w:p>
        </w:tc>
        <w:tc>
          <w:tcPr>
            <w:tcW w:type="dxa" w:w="960"/>
          </w:tcPr>
          <w:p>
            <w:r>
              <w:rPr>
                <w:rFonts w:ascii="Calibri" w:hAnsi="Calibri"/>
                <w:sz w:val="22"/>
              </w:rPr>
              <w:t>FY 2026</w:t>
            </w:r>
          </w:p>
        </w:tc>
        <w:tc>
          <w:tcPr>
            <w:tcW w:type="dxa" w:w="960"/>
          </w:tcPr>
          <w:p>
            <w:r>
              <w:rPr>
                <w:rFonts w:ascii="Calibri" w:hAnsi="Calibri"/>
                <w:sz w:val="22"/>
              </w:rPr>
              <w:t>$4,922.9M</w:t>
            </w:r>
          </w:p>
        </w:tc>
        <w:tc>
          <w:tcPr>
            <w:tcW w:type="dxa" w:w="960"/>
          </w:tcPr>
          <w:p>
            <w:r>
              <w:rPr>
                <w:rFonts w:ascii="Calibri" w:hAnsi="Calibri"/>
                <w:sz w:val="22"/>
              </w:rPr>
              <w:t>$4,927.2M</w:t>
            </w:r>
          </w:p>
        </w:tc>
        <w:tc>
          <w:tcPr>
            <w:tcW w:type="dxa" w:w="960"/>
          </w:tcPr>
          <w:p>
            <w:r>
              <w:rPr>
                <w:rFonts w:ascii="Calibri" w:hAnsi="Calibri"/>
                <w:sz w:val="22"/>
              </w:rPr>
              <w:t>+0.1%</w:t>
            </w:r>
          </w:p>
        </w:tc>
        <w:tc>
          <w:tcPr>
            <w:tcW w:type="dxa" w:w="960"/>
          </w:tcPr>
          <w:p>
            <w:r>
              <w:rPr>
                <w:rFonts w:ascii="Calibri" w:hAnsi="Calibri"/>
                <w:sz w:val="22"/>
              </w:rPr>
              <w:t>Mid-to-high teens</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In line</w:t>
            </w:r>
          </w:p>
        </w:tc>
      </w:tr>
      <w:tr>
        <w:tc>
          <w:tcPr>
            <w:tcW w:type="dxa" w:w="960"/>
          </w:tcPr>
          <w:p>
            <w:r>
              <w:rPr>
                <w:rFonts w:ascii="Calibri" w:hAnsi="Calibri"/>
                <w:sz w:val="22"/>
              </w:rPr>
              <w:t>Adj. EBITDA Margin</w:t>
            </w:r>
          </w:p>
        </w:tc>
        <w:tc>
          <w:tcPr>
            <w:tcW w:type="dxa" w:w="960"/>
          </w:tcPr>
          <w:p>
            <w:r>
              <w:rPr>
                <w:rFonts w:ascii="Calibri" w:hAnsi="Calibri"/>
                <w:sz w:val="22"/>
              </w:rPr>
              <w:t>Q2 2026</w:t>
            </w:r>
          </w:p>
        </w:tc>
        <w:tc>
          <w:tcPr>
            <w:tcW w:type="dxa" w:w="960"/>
          </w:tcPr>
          <w:p>
            <w:r>
              <w:rPr>
                <w:rFonts w:ascii="Calibri" w:hAnsi="Calibri"/>
                <w:sz w:val="22"/>
              </w:rPr>
              <w:t>18.3%</w:t>
            </w:r>
          </w:p>
        </w:tc>
        <w:tc>
          <w:tcPr>
            <w:tcW w:type="dxa" w:w="960"/>
          </w:tcPr>
          <w:p>
            <w:r>
              <w:rPr>
                <w:rFonts w:ascii="Calibri" w:hAnsi="Calibri"/>
                <w:sz w:val="22"/>
              </w:rPr>
              <w:t>18.4%</w:t>
            </w:r>
          </w:p>
        </w:tc>
        <w:tc>
          <w:tcPr>
            <w:tcW w:type="dxa" w:w="960"/>
          </w:tcPr>
          <w:p>
            <w:r>
              <w:rPr>
                <w:rFonts w:ascii="Calibri" w:hAnsi="Calibri"/>
                <w:sz w:val="22"/>
              </w:rPr>
              <w:t>+10bps</w:t>
            </w:r>
          </w:p>
        </w:tc>
        <w:tc>
          <w:tcPr>
            <w:tcW w:type="dxa" w:w="960"/>
          </w:tcPr>
          <w:p>
            <w:r>
              <w:rPr>
                <w:rFonts w:ascii="Calibri" w:hAnsi="Calibri"/>
                <w:sz w:val="22"/>
              </w:rPr>
              <w:t>~18% range</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+40bps above midpoint</w:t>
            </w:r>
          </w:p>
        </w:tc>
      </w:tr>
      <w:tr>
        <w:tc>
          <w:tcPr>
            <w:tcW w:type="dxa" w:w="960"/>
          </w:tcPr>
          <w:p>
            <w:r>
              <w:rPr>
                <w:rFonts w:ascii="Calibri" w:hAnsi="Calibri"/>
                <w:sz w:val="22"/>
              </w:rPr>
              <w:t>Adj. EBITDA Margin</w:t>
            </w:r>
          </w:p>
        </w:tc>
        <w:tc>
          <w:tcPr>
            <w:tcW w:type="dxa" w:w="960"/>
          </w:tcPr>
          <w:p>
            <w:r>
              <w:rPr>
                <w:rFonts w:ascii="Calibri" w:hAnsi="Calibri"/>
                <w:sz w:val="22"/>
              </w:rPr>
              <w:t>FY 2026</w:t>
            </w:r>
          </w:p>
        </w:tc>
        <w:tc>
          <w:tcPr>
            <w:tcW w:type="dxa" w:w="960"/>
          </w:tcPr>
          <w:p>
            <w:r>
              <w:rPr>
                <w:rFonts w:ascii="Calibri" w:hAnsi="Calibri"/>
                <w:sz w:val="22"/>
              </w:rPr>
              <w:t>19.1%</w:t>
            </w:r>
          </w:p>
        </w:tc>
        <w:tc>
          <w:tcPr>
            <w:tcW w:type="dxa" w:w="960"/>
          </w:tcPr>
          <w:p>
            <w:r>
              <w:rPr>
                <w:rFonts w:ascii="Calibri" w:hAnsi="Calibri"/>
                <w:sz w:val="22"/>
              </w:rPr>
              <w:t>19.1%</w:t>
            </w:r>
          </w:p>
        </w:tc>
        <w:tc>
          <w:tcPr>
            <w:tcW w:type="dxa" w:w="960"/>
          </w:tcPr>
          <w:p>
            <w:r>
              <w:rPr>
                <w:rFonts w:ascii="Calibri" w:hAnsi="Calibri"/>
                <w:sz w:val="22"/>
              </w:rPr>
              <w:t>Flat</w:t>
            </w:r>
          </w:p>
        </w:tc>
        <w:tc>
          <w:tcPr>
            <w:tcW w:type="dxa" w:w="960"/>
          </w:tcPr>
          <w:p>
            <w:r>
              <w:rPr>
                <w:rFonts w:ascii="Calibri" w:hAnsi="Calibri"/>
                <w:sz w:val="22"/>
              </w:rPr>
              <w:t>18.5–19.5%</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At midpoint</w:t>
            </w:r>
          </w:p>
        </w:tc>
      </w:tr>
      <w:tr>
        <w:tc>
          <w:tcPr>
            <w:tcW w:type="dxa" w:w="960"/>
          </w:tcPr>
          <w:p>
            <w:r>
              <w:rPr>
                <w:rFonts w:ascii="Calibri" w:hAnsi="Calibri"/>
                <w:sz w:val="22"/>
              </w:rPr>
              <w:t>Diluted EPS — Operating</w:t>
            </w:r>
          </w:p>
        </w:tc>
        <w:tc>
          <w:tcPr>
            <w:tcW w:type="dxa" w:w="960"/>
          </w:tcPr>
          <w:p>
            <w:r>
              <w:rPr>
                <w:rFonts w:ascii="Calibri" w:hAnsi="Calibri"/>
                <w:sz w:val="22"/>
              </w:rPr>
              <w:t>Q2 2026</w:t>
            </w:r>
          </w:p>
        </w:tc>
        <w:tc>
          <w:tcPr>
            <w:tcW w:type="dxa" w:w="960"/>
          </w:tcPr>
          <w:p>
            <w:r>
              <w:rPr>
                <w:rFonts w:ascii="Calibri" w:hAnsi="Calibri"/>
                <w:sz w:val="22"/>
              </w:rPr>
              <w:t>$1.97</w:t>
            </w:r>
          </w:p>
        </w:tc>
        <w:tc>
          <w:tcPr>
            <w:tcW w:type="dxa" w:w="960"/>
          </w:tcPr>
          <w:p>
            <w:r>
              <w:rPr>
                <w:rFonts w:ascii="Calibri" w:hAnsi="Calibri"/>
                <w:sz w:val="22"/>
              </w:rPr>
              <w:t>$2.01</w:t>
            </w:r>
          </w:p>
        </w:tc>
        <w:tc>
          <w:tcPr>
            <w:tcW w:type="dxa" w:w="960"/>
          </w:tcPr>
          <w:p>
            <w:r>
              <w:rPr>
                <w:rFonts w:ascii="Calibri" w:hAnsi="Calibri"/>
                <w:sz w:val="22"/>
              </w:rPr>
              <w:t>+2.0%</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w:t>
            </w:r>
          </w:p>
        </w:tc>
        <w:tc>
          <w:tcPr>
            <w:tcW w:type="dxa" w:w="960"/>
          </w:tcPr>
          <w:p>
            <w:r>
              <w:rPr>
                <w:rFonts w:ascii="Calibri" w:hAnsi="Calibri"/>
                <w:sz w:val="22"/>
              </w:rPr>
              <w:t>N/A</w:t>
            </w:r>
          </w:p>
        </w:tc>
      </w:tr>
      <w:tr>
        <w:tc>
          <w:tcPr>
            <w:tcW w:type="dxa" w:w="960"/>
          </w:tcPr>
          <w:p>
            <w:r>
              <w:rPr>
                <w:rFonts w:ascii="Calibri" w:hAnsi="Calibri"/>
                <w:sz w:val="22"/>
              </w:rPr>
              <w:t>Diluted EPS — Operating</w:t>
            </w:r>
          </w:p>
        </w:tc>
        <w:tc>
          <w:tcPr>
            <w:tcW w:type="dxa" w:w="960"/>
          </w:tcPr>
          <w:p>
            <w:r>
              <w:rPr>
                <w:rFonts w:ascii="Calibri" w:hAnsi="Calibri"/>
                <w:sz w:val="22"/>
              </w:rPr>
              <w:t>FY 2026</w:t>
            </w:r>
          </w:p>
        </w:tc>
        <w:tc>
          <w:tcPr>
            <w:tcW w:type="dxa" w:w="960"/>
          </w:tcPr>
          <w:p>
            <w:r>
              <w:rPr>
                <w:rFonts w:ascii="Calibri" w:hAnsi="Calibri"/>
                <w:sz w:val="22"/>
              </w:rPr>
              <w:t>$8.93</w:t>
            </w:r>
          </w:p>
        </w:tc>
        <w:tc>
          <w:tcPr>
            <w:tcW w:type="dxa" w:w="960"/>
          </w:tcPr>
          <w:p>
            <w:r>
              <w:rPr>
                <w:rFonts w:ascii="Calibri" w:hAnsi="Calibri"/>
                <w:sz w:val="22"/>
              </w:rPr>
              <w:t>$8.94</w:t>
            </w:r>
          </w:p>
        </w:tc>
        <w:tc>
          <w:tcPr>
            <w:tcW w:type="dxa" w:w="960"/>
          </w:tcPr>
          <w:p>
            <w:r>
              <w:rPr>
                <w:rFonts w:ascii="Calibri" w:hAnsi="Calibri"/>
                <w:sz w:val="22"/>
              </w:rPr>
              <w:t>+0.1%</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w:t>
            </w:r>
          </w:p>
        </w:tc>
        <w:tc>
          <w:tcPr>
            <w:tcW w:type="dxa" w:w="960"/>
          </w:tcPr>
          <w:p>
            <w:r>
              <w:rPr>
                <w:rFonts w:ascii="Calibri" w:hAnsi="Calibri"/>
                <w:sz w:val="22"/>
              </w:rPr>
              <w:t>N/A</w:t>
            </w:r>
          </w:p>
        </w:tc>
      </w:tr>
    </w:tbl>
    <w:p>
      <w:r>
        <w:rPr>
          <w:rFonts w:ascii="Calibri" w:hAnsi="Calibri"/>
          <w:color w:val="525866"/>
          <w:sz w:val="22"/>
        </w:rPr>
        <w:t>The near-zero estimate revisions since Q1 are notable — the June 2 hyperscale supply agreement announcement (which sent the stock up ~8% on the day) did not translate into meaningful estimate upgrades. This suggests the Street is treating the deal as a 2027+ revenue event rather than a Q2/Q3 2026 catalyst, which could create upside if management provides more specific near-term revenue guidance on the Q2 call.</w:t>
      </w:r>
    </w:p>
    <w:p>
      <w:r>
        <w:rPr>
          <w:rFonts w:ascii="Calibri" w:hAnsi="Calibri"/>
          <w:i/>
          <w:color w:val="525866"/>
          <w:sz w:val="22"/>
        </w:rPr>
        <w:t xml:space="preserve">Source: </w:t>
      </w:r>
      <w:r>
        <w:rPr>
          <w:rFonts w:ascii="Calibri" w:hAnsi="Calibri"/>
          <w:i/>
          <w:color w:val="525866"/>
          <w:sz w:val="22"/>
        </w:rPr>
        <w:t>Visible Alpha consensus. Estimate baseline as of May 6, 2026 (5 trading days post Q1 earnings). Current consensus as of July 28, 2026.</w:t>
      </w:r>
    </w:p>
    <w:p>
      <w:r>
        <w:br w:type="page"/>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color w:val="525866"/>
          <w:sz w:val="22"/>
        </w:rPr>
        <w:t>GNRC has dramatically underperformed since Q1 earnings (</w:t>
      </w:r>
      <w:r>
        <w:rPr>
          <w:rFonts w:ascii="Calibri" w:hAnsi="Calibri"/>
          <w:b/>
          <w:color w:val="525866"/>
          <w:sz w:val="22"/>
        </w:rPr>
        <w:t>-22.7% vs XLI +7.4%, SPY +4.1%</w:t>
      </w:r>
      <w:r>
        <w:rPr>
          <w:rFonts w:ascii="Calibri" w:hAnsi="Calibri"/>
          <w:color w:val="525866"/>
          <w:sz w:val="22"/>
        </w:rPr>
        <w:t>), driven by a valuation reset and pre-earnings risk reduction — not a fundamental deterioration. The stock briefly rallied to +17% above Q1 earnings close on the June 2 hyperscale deal before reversing sharply.</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GNRC vs XLI (Industrials ETF) vs S&amp;P 500 — Indexed to 100 at Q1 2026 Earnings (Apr 29, 2026). Key events: June 2 Hyperscale Supply Agreement (orange), June 15 Belvidere IL Facility Acquisition (green). Source: Stock Price Data.</w:t>
      </w:r>
    </w:p>
    <w:p>
      <w:pPr>
        <w:pStyle w:val="ListBullet"/>
        <w:ind w:left="360" w:hanging="360"/>
      </w:pPr>
      <w:r>
        <w:rPr>
          <w:rFonts w:ascii="Calibri" w:hAnsi="Calibri"/>
          <w:b/>
          <w:color w:val="525866"/>
          <w:sz w:val="22"/>
        </w:rPr>
        <w:t xml:space="preserve">BofA PT cut (early July): </w:t>
      </w:r>
      <w:r>
        <w:rPr>
          <w:rFonts w:ascii="Calibri" w:hAnsi="Calibri"/>
          <w:color w:val="525866"/>
          <w:sz w:val="22"/>
        </w:rPr>
        <w:t>Bank of America lowered its price target to $224 from $236 (maintaining Buy), citing data center strategy concerns — contributed to ~10% single-day decline on July 7.</w:t>
      </w:r>
    </w:p>
    <w:p>
      <w:pPr>
        <w:pStyle w:val="ListBullet"/>
        <w:ind w:left="360" w:hanging="360"/>
      </w:pPr>
      <w:r>
        <w:rPr>
          <w:rFonts w:ascii="Calibri" w:hAnsi="Calibri"/>
          <w:b/>
          <w:color w:val="525866"/>
          <w:sz w:val="22"/>
        </w:rPr>
        <w:t xml:space="preserve">Pre-earnings risk reduction: </w:t>
      </w:r>
      <w:r>
        <w:rPr>
          <w:rFonts w:ascii="Calibri" w:hAnsi="Calibri"/>
          <w:color w:val="525866"/>
          <w:sz w:val="22"/>
        </w:rPr>
        <w:t>Stock down 3.6% on July 27 alone as investors reduced exposure ahead of the July 29 print.</w:t>
      </w:r>
    </w:p>
    <w:p>
      <w:pPr>
        <w:pStyle w:val="ListBullet"/>
        <w:ind w:left="360" w:hanging="360"/>
      </w:pPr>
      <w:r>
        <w:rPr>
          <w:rFonts w:ascii="Calibri" w:hAnsi="Calibri"/>
          <w:b/>
          <w:color w:val="525866"/>
          <w:sz w:val="22"/>
        </w:rPr>
        <w:t xml:space="preserve">Post-Q1 rally then reversal: </w:t>
      </w:r>
      <w:r>
        <w:rPr>
          <w:rFonts w:ascii="Calibri" w:hAnsi="Calibri"/>
          <w:color w:val="525866"/>
          <w:sz w:val="22"/>
        </w:rPr>
        <w:t>Stock surged ~17% on Q1 earnings day (Apr 29), then rallied further to ~+17% on the June 2 hyperscale deal before giving back all gains and more.</w:t>
      </w:r>
    </w:p>
    <w:p>
      <w:pPr>
        <w:pStyle w:val="ListBullet"/>
        <w:ind w:left="360" w:hanging="360"/>
      </w:pPr>
      <w:r>
        <w:rPr>
          <w:rFonts w:ascii="Calibri" w:hAnsi="Calibri"/>
          <w:b/>
          <w:color w:val="525866"/>
          <w:sz w:val="22"/>
        </w:rPr>
        <w:t xml:space="preserve">Valuation reset: </w:t>
      </w:r>
      <w:r>
        <w:rPr>
          <w:rFonts w:ascii="Calibri" w:hAnsi="Calibri"/>
          <w:color w:val="525866"/>
          <w:sz w:val="22"/>
        </w:rPr>
        <w:t>Multiple has compressed significantly from post-Q1 peak; analyst consensus target of ~$285 implies ~45% upside from current ~$197 level.</w:t>
      </w:r>
    </w:p>
    <w:p>
      <w:pPr>
        <w:pStyle w:val="ListBullet"/>
        <w:ind w:left="360" w:hanging="360"/>
      </w:pPr>
      <w:r>
        <w:rPr>
          <w:rFonts w:ascii="Calibri" w:hAnsi="Calibri"/>
          <w:b/>
          <w:color w:val="525866"/>
          <w:sz w:val="22"/>
        </w:rPr>
        <w:t xml:space="preserve">Sector ETF used: </w:t>
      </w:r>
      <w:r>
        <w:rPr>
          <w:rFonts w:ascii="Calibri" w:hAnsi="Calibri"/>
          <w:color w:val="525866"/>
          <w:sz w:val="22"/>
        </w:rPr>
        <w:t>XLI (Industrial Select Sector SPDR ETF) — appropriate for GNRC's industrial/power equipment sub-sector.</w:t>
      </w:r>
    </w:p>
    <w:p>
      <w:r>
        <w:br w:type="page"/>
      </w:r>
    </w:p>
    <w:p>
      <w:pPr>
        <w:pStyle w:val="Heading2"/>
      </w:pPr>
      <w:r>
        <w:rPr>
          <w:rFonts w:ascii="Calibri" w:hAnsi="Calibri"/>
          <w:b/>
          <w:color w:val="3B4259"/>
          <w:sz w:val="28"/>
        </w:rPr>
        <w:t>Peer Commentaries — Read-Throughs for Q2 2026</w:t>
      </w:r>
    </w:p>
    <w:p>
      <w:r>
        <w:rPr>
          <w:rFonts w:ascii="Calibri" w:hAnsi="Calibri"/>
          <w:b/>
          <w:color w:val="525866"/>
          <w:sz w:val="22"/>
        </w:rPr>
        <w:t xml:space="preserve">Key Takeaway: </w:t>
      </w:r>
      <w:r>
        <w:rPr>
          <w:rFonts w:ascii="Calibri" w:hAnsi="Calibri"/>
          <w:color w:val="525866"/>
          <w:sz w:val="22"/>
        </w:rPr>
        <w:t xml:space="preserve">Peer commentary from Q1 2026 earnings calls (reported after GNRC's Q1 on April 29) is </w:t>
      </w:r>
      <w:r>
        <w:rPr>
          <w:rFonts w:ascii="Calibri" w:hAnsi="Calibri"/>
          <w:b/>
          <w:color w:val="525866"/>
          <w:sz w:val="22"/>
        </w:rPr>
        <w:t>uniformly bullish on data center power demand</w:t>
      </w:r>
      <w:r>
        <w:rPr>
          <w:rFonts w:ascii="Calibri" w:hAnsi="Calibri"/>
          <w:color w:val="525866"/>
          <w:sz w:val="22"/>
        </w:rPr>
        <w:t xml:space="preserve"> — Eaton, Caterpillar, and Cummins all raised their power generation outlooks and described accelerating order activity. This is a strong positive read-through for GNRC's C&amp;I/data center segment. Enphase's Q2 2026 results (reported July 28) show continued pressure in US residential solar/storage, a modest negative read-through for GNRC's residential energy technology segment.</w:t>
      </w:r>
    </w:p>
    <w:p>
      <w:pPr>
        <w:pStyle w:val="Heading3"/>
      </w:pPr>
      <w:r>
        <w:rPr>
          <w:rFonts w:ascii="Calibri" w:hAnsi="Calibri"/>
          <w:b/>
          <w:color w:val="3B4259"/>
          <w:sz w:val="24"/>
        </w:rPr>
        <w:t>C&amp;I / Data Center Power — Strongly Positive Read-Through</w:t>
      </w:r>
    </w:p>
    <w:p>
      <w:pPr>
        <w:pStyle w:val="Heading4"/>
      </w:pPr>
      <w:r>
        <w:rPr>
          <w:rFonts w:ascii="Calibri" w:hAnsi="Calibri"/>
          <w:b/>
          <w:color w:val="3B4259"/>
          <w:sz w:val="22"/>
        </w:rPr>
        <w:t>Eaton (ETN) — Q1 2026 Earnings (May 5, 2026)</w:t>
      </w:r>
    </w:p>
    <w:p>
      <w:pPr>
        <w:pStyle w:val="ListBullet"/>
        <w:ind w:left="360" w:hanging="360"/>
      </w:pPr>
      <w:r>
        <w:rPr>
          <w:rFonts w:ascii="Calibri" w:hAnsi="Calibri"/>
          <w:b/>
          <w:color w:val="525866"/>
          <w:sz w:val="22"/>
        </w:rPr>
        <w:t>Data center orders up 240%</w:t>
      </w:r>
      <w:r>
        <w:rPr>
          <w:rFonts w:ascii="Calibri" w:hAnsi="Calibri"/>
          <w:color w:val="525866"/>
          <w:sz w:val="22"/>
        </w:rPr>
        <w:t xml:space="preserve"> on a rolling 12-month basis; Electrical Americas organic sales up 14%, with data centers up ~50%.</w:t>
      </w:r>
    </w:p>
    <w:p>
      <w:pPr>
        <w:pStyle w:val="ListBullet"/>
        <w:ind w:left="360" w:hanging="360"/>
      </w:pPr>
      <w:r>
        <w:rPr>
          <w:rFonts w:ascii="Calibri" w:hAnsi="Calibri"/>
          <w:b/>
          <w:color w:val="525866"/>
          <w:sz w:val="22"/>
        </w:rPr>
        <w:t>Total data center backlog grew to 228 gigawatts</w:t>
      </w:r>
      <w:r>
        <w:rPr>
          <w:rFonts w:ascii="Calibri" w:hAnsi="Calibri"/>
          <w:color w:val="525866"/>
          <w:sz w:val="22"/>
        </w:rPr>
        <w:t xml:space="preserve"> (12 years of backlog at 2025 build rates), up from 11 years previously; book-to-bill ratio increased to 1.2x.</w:t>
      </w:r>
    </w:p>
    <w:p>
      <w:pPr>
        <w:pStyle w:val="ListBullet"/>
        <w:ind w:left="360" w:hanging="360"/>
      </w:pPr>
      <w:r>
        <w:rPr>
          <w:rFonts w:ascii="Calibri" w:hAnsi="Calibri"/>
          <w:b/>
          <w:color w:val="525866"/>
          <w:sz w:val="22"/>
        </w:rPr>
        <w:t>Raised organic growth outlook by 200bps to 10% midpoint</w:t>
      </w:r>
      <w:r>
        <w:rPr>
          <w:rFonts w:ascii="Calibri" w:hAnsi="Calibri"/>
          <w:color w:val="525866"/>
          <w:sz w:val="22"/>
        </w:rPr>
        <w:t>; record backlogs in both Electrical and Aerospace.</w:t>
      </w:r>
    </w:p>
    <w:p>
      <w:pPr>
        <w:pStyle w:val="ListBullet"/>
        <w:ind w:left="360" w:hanging="360"/>
      </w:pPr>
      <w:r>
        <w:rPr>
          <w:rFonts w:ascii="Calibri" w:hAnsi="Calibri"/>
          <w:i/>
          <w:color w:val="525866"/>
          <w:sz w:val="22"/>
        </w:rPr>
        <w:t xml:space="preserve">Management quote: </w:t>
      </w:r>
      <w:r>
        <w:rPr>
          <w:rFonts w:ascii="Calibri" w:hAnsi="Calibri"/>
          <w:i/>
          <w:color w:val="525866"/>
          <w:sz w:val="22"/>
        </w:rPr>
        <w:t>"The urgency has increased. The scale of deployments is larger and the technical complexity is creating opportunities for companies that can solve system-level problems."</w:t>
      </w:r>
    </w:p>
    <w:p>
      <w:pPr>
        <w:pStyle w:val="ListBullet"/>
        <w:ind w:left="360" w:hanging="360"/>
      </w:pPr>
      <w:r>
        <w:rPr>
          <w:rFonts w:ascii="Calibri" w:hAnsi="Calibri"/>
          <w:b/>
          <w:color w:val="525866"/>
          <w:sz w:val="22"/>
        </w:rPr>
        <w:t xml:space="preserve">GNRC Read-Through: </w:t>
      </w:r>
      <w:r>
        <w:rPr>
          <w:rFonts w:ascii="Calibri" w:hAnsi="Calibri"/>
          <w:color w:val="525866"/>
          <w:sz w:val="22"/>
        </w:rPr>
        <w:t>Confirms the data center power infrastructure buildout is accelerating, not decelerating. Eaton's 240% order growth and 12-year backlog validate GNRC's own backlog expansion and hyperscale vendor approval timeline.</w:t>
      </w:r>
    </w:p>
    <w:p>
      <w:pPr>
        <w:pStyle w:val="Heading4"/>
      </w:pPr>
      <w:r>
        <w:rPr>
          <w:rFonts w:ascii="Calibri" w:hAnsi="Calibri"/>
          <w:b/>
          <w:color w:val="3B4259"/>
          <w:sz w:val="22"/>
        </w:rPr>
        <w:t>Caterpillar (CAT) — Q1 2026 Earnings (April 30, 2026)</w:t>
      </w:r>
    </w:p>
    <w:p>
      <w:pPr>
        <w:pStyle w:val="ListBullet"/>
        <w:ind w:left="360" w:hanging="360"/>
      </w:pPr>
      <w:r>
        <w:rPr>
          <w:rFonts w:ascii="Calibri" w:hAnsi="Calibri"/>
          <w:b/>
          <w:color w:val="525866"/>
          <w:sz w:val="22"/>
        </w:rPr>
        <w:t>Power generation sales grew 48%</w:t>
      </w:r>
      <w:r>
        <w:rPr>
          <w:rFonts w:ascii="Calibri" w:hAnsi="Calibri"/>
          <w:color w:val="525866"/>
          <w:sz w:val="22"/>
        </w:rPr>
        <w:t>, driven by strong demand for large gensets and turbines for data center applications; increasing mix toward prime power.</w:t>
      </w:r>
    </w:p>
    <w:p>
      <w:pPr>
        <w:pStyle w:val="ListBullet"/>
        <w:ind w:left="360" w:hanging="360"/>
      </w:pPr>
      <w:r>
        <w:rPr>
          <w:rFonts w:ascii="Calibri" w:hAnsi="Calibri"/>
          <w:b/>
          <w:color w:val="525866"/>
          <w:sz w:val="22"/>
        </w:rPr>
        <w:t>Large reciprocating engine backlog has grown more than 3.5x since January 2024</w:t>
      </w:r>
      <w:r>
        <w:rPr>
          <w:rFonts w:ascii="Calibri" w:hAnsi="Calibri"/>
          <w:color w:val="525866"/>
          <w:sz w:val="22"/>
        </w:rPr>
        <w:t>; customers committing to orders well into 2028.</w:t>
      </w:r>
    </w:p>
    <w:p>
      <w:pPr>
        <w:pStyle w:val="ListBullet"/>
        <w:ind w:left="360" w:hanging="360"/>
      </w:pPr>
      <w:r>
        <w:rPr>
          <w:rFonts w:ascii="Calibri" w:hAnsi="Calibri"/>
          <w:b/>
          <w:color w:val="525866"/>
          <w:sz w:val="22"/>
        </w:rPr>
        <w:t>Announced agreement to provide PROPWR up to 2.1 gigawatts of large gas generator sets</w:t>
      </w:r>
      <w:r>
        <w:rPr>
          <w:rFonts w:ascii="Calibri" w:hAnsi="Calibri"/>
          <w:color w:val="525866"/>
          <w:sz w:val="22"/>
        </w:rPr>
        <w:t xml:space="preserve"> — sixth agreement with at least 1 gigawatt for prime power applications.</w:t>
      </w:r>
    </w:p>
    <w:p>
      <w:pPr>
        <w:pStyle w:val="ListBullet"/>
        <w:ind w:left="360" w:hanging="360"/>
      </w:pPr>
      <w:r>
        <w:rPr>
          <w:rFonts w:ascii="Calibri" w:hAnsi="Calibri"/>
          <w:b/>
          <w:color w:val="525866"/>
          <w:sz w:val="22"/>
        </w:rPr>
        <w:t>Increasing large reciprocating engine capacity from 2x to nearly 3x 2024 levels</w:t>
      </w:r>
      <w:r>
        <w:rPr>
          <w:rFonts w:ascii="Calibri" w:hAnsi="Calibri"/>
          <w:color w:val="525866"/>
          <w:sz w:val="22"/>
        </w:rPr>
        <w:t>; expects incremental units as early as 2027.</w:t>
      </w:r>
    </w:p>
    <w:p>
      <w:pPr>
        <w:pStyle w:val="ListBullet"/>
        <w:ind w:left="360" w:hanging="360"/>
      </w:pPr>
      <w:r>
        <w:rPr>
          <w:rFonts w:ascii="Calibri" w:hAnsi="Calibri"/>
          <w:i/>
          <w:color w:val="525866"/>
          <w:sz w:val="22"/>
        </w:rPr>
        <w:t xml:space="preserve">Management quote: </w:t>
      </w:r>
      <w:r>
        <w:rPr>
          <w:rFonts w:ascii="Calibri" w:hAnsi="Calibri"/>
          <w:i/>
          <w:color w:val="525866"/>
          <w:sz w:val="22"/>
        </w:rPr>
        <w:t>"Not every data center is going to go behind the meter either, and those are going to drive a lot of backup demand."</w:t>
      </w:r>
    </w:p>
    <w:p>
      <w:pPr>
        <w:pStyle w:val="ListBullet"/>
        <w:ind w:left="360" w:hanging="360"/>
      </w:pPr>
      <w:r>
        <w:rPr>
          <w:rFonts w:ascii="Calibri" w:hAnsi="Calibri"/>
          <w:b/>
          <w:color w:val="525866"/>
          <w:sz w:val="22"/>
        </w:rPr>
        <w:t xml:space="preserve">GNRC Read-Through: </w:t>
      </w:r>
      <w:r>
        <w:rPr>
          <w:rFonts w:ascii="Calibri" w:hAnsi="Calibri"/>
          <w:color w:val="525866"/>
          <w:sz w:val="22"/>
        </w:rPr>
        <w:t>CAT's 48% power generation growth and 3.5x backlog expansion directly validates GNRC's data center opportunity. Critically, CAT notes backup power is growing alongside prime power — not being displaced — which is directly relevant to GNRC's backup generator business model.</w:t>
      </w:r>
    </w:p>
    <w:p>
      <w:pPr>
        <w:pStyle w:val="Heading4"/>
      </w:pPr>
      <w:r>
        <w:rPr>
          <w:rFonts w:ascii="Calibri" w:hAnsi="Calibri"/>
          <w:b/>
          <w:color w:val="3B4259"/>
          <w:sz w:val="22"/>
        </w:rPr>
        <w:t>Cummins (CMI) — Q1 2026 Earnings (May 5, 2026)</w:t>
      </w:r>
    </w:p>
    <w:p>
      <w:pPr>
        <w:pStyle w:val="ListBullet"/>
        <w:ind w:left="360" w:hanging="360"/>
      </w:pPr>
      <w:r>
        <w:rPr>
          <w:rFonts w:ascii="Calibri" w:hAnsi="Calibri"/>
          <w:b/>
          <w:color w:val="525866"/>
          <w:sz w:val="22"/>
        </w:rPr>
        <w:t>Global power generation revenues projected to increase 15–25% for FY 2026</w:t>
      </w:r>
      <w:r>
        <w:rPr>
          <w:rFonts w:ascii="Calibri" w:hAnsi="Calibri"/>
          <w:color w:val="525866"/>
          <w:sz w:val="22"/>
        </w:rPr>
        <w:t xml:space="preserve"> (raised from 10–20%), driven by accelerating data center demand.</w:t>
      </w:r>
    </w:p>
    <w:p>
      <w:pPr>
        <w:pStyle w:val="ListBullet"/>
        <w:ind w:left="360" w:hanging="360"/>
      </w:pPr>
      <w:r>
        <w:rPr>
          <w:rFonts w:ascii="Calibri" w:hAnsi="Calibri"/>
          <w:b/>
          <w:color w:val="525866"/>
          <w:sz w:val="22"/>
        </w:rPr>
        <w:t>Power Systems segment delivered record EBITDA of 29.5% of sales</w:t>
      </w:r>
      <w:r>
        <w:rPr>
          <w:rFonts w:ascii="Calibri" w:hAnsi="Calibri"/>
          <w:color w:val="525866"/>
          <w:sz w:val="22"/>
        </w:rPr>
        <w:t>; revenues up 19%.</w:t>
      </w:r>
    </w:p>
    <w:p>
      <w:pPr>
        <w:pStyle w:val="ListBullet"/>
        <w:ind w:left="360" w:hanging="360"/>
      </w:pPr>
      <w:r>
        <w:rPr>
          <w:rFonts w:ascii="Calibri" w:hAnsi="Calibri"/>
          <w:b/>
          <w:color w:val="525866"/>
          <w:sz w:val="22"/>
        </w:rPr>
        <w:t>China data center demand surging</w:t>
      </w:r>
      <w:r>
        <w:rPr>
          <w:rFonts w:ascii="Calibri" w:hAnsi="Calibri"/>
          <w:color w:val="525866"/>
          <w:sz w:val="22"/>
        </w:rPr>
        <w:t xml:space="preserve"> — power generation equipment sales in China up 84% in Q1; full-year China revenue outlook raised to +10% (from -1% prior).</w:t>
      </w:r>
    </w:p>
    <w:p>
      <w:pPr>
        <w:pStyle w:val="ListBullet"/>
        <w:ind w:left="360" w:hanging="360"/>
      </w:pPr>
      <w:r>
        <w:rPr>
          <w:rFonts w:ascii="Calibri" w:hAnsi="Calibri"/>
          <w:i/>
          <w:color w:val="525866"/>
          <w:sz w:val="22"/>
        </w:rPr>
        <w:t xml:space="preserve">Management quote: </w:t>
      </w:r>
      <w:r>
        <w:rPr>
          <w:rFonts w:ascii="Calibri" w:hAnsi="Calibri"/>
          <w:i/>
          <w:color w:val="525866"/>
          <w:sz w:val="22"/>
        </w:rPr>
        <w:t>"Robust global demand for power generation equipment throughout the year; investing in raising capacities to meet even stronger demand."</w:t>
      </w:r>
    </w:p>
    <w:p>
      <w:pPr>
        <w:pStyle w:val="ListBullet"/>
        <w:ind w:left="360" w:hanging="360"/>
      </w:pPr>
      <w:r>
        <w:rPr>
          <w:rFonts w:ascii="Calibri" w:hAnsi="Calibri"/>
          <w:b/>
          <w:color w:val="525866"/>
          <w:sz w:val="22"/>
        </w:rPr>
        <w:t xml:space="preserve">GNRC Read-Through: </w:t>
      </w:r>
      <w:r>
        <w:rPr>
          <w:rFonts w:ascii="Calibri" w:hAnsi="Calibri"/>
          <w:color w:val="525866"/>
          <w:sz w:val="22"/>
        </w:rPr>
        <w:t>CMI's raised power generation guidance and record Power Systems margins confirm the data center demand environment is stronger than expected. The international data center demand validates the global secular trend underpinning GNRC's multi-year growth thesis.</w:t>
      </w:r>
    </w:p>
    <w:p>
      <w:pPr>
        <w:pStyle w:val="Heading4"/>
      </w:pPr>
      <w:r>
        <w:rPr>
          <w:rFonts w:ascii="Calibri" w:hAnsi="Calibri"/>
          <w:b/>
          <w:color w:val="3B4259"/>
          <w:sz w:val="22"/>
        </w:rPr>
        <w:t>Vertiv (VRT) — Q1 2026 Earnings (April 22, 2026)</w:t>
      </w:r>
    </w:p>
    <w:p>
      <w:pPr>
        <w:pStyle w:val="ListBullet"/>
        <w:ind w:left="360" w:hanging="360"/>
      </w:pPr>
      <w:r>
        <w:rPr>
          <w:rFonts w:ascii="Calibri" w:hAnsi="Calibri"/>
          <w:b/>
          <w:color w:val="525866"/>
          <w:sz w:val="22"/>
        </w:rPr>
        <w:t>Q2 2026 guidance: net sales of $3.35B (+27% YoY), adjusted EPS of $1.40 (+47% YoY)</w:t>
      </w:r>
      <w:r>
        <w:rPr>
          <w:rFonts w:ascii="Calibri" w:hAnsi="Calibri"/>
          <w:color w:val="525866"/>
          <w:sz w:val="22"/>
        </w:rPr>
        <w:t>; adjusted operating margins guided to 21.2% (+270bps).</w:t>
      </w:r>
    </w:p>
    <w:p>
      <w:pPr>
        <w:pStyle w:val="ListBullet"/>
        <w:ind w:left="360" w:hanging="360"/>
      </w:pPr>
      <w:r>
        <w:rPr>
          <w:rFonts w:ascii="Calibri" w:hAnsi="Calibri"/>
          <w:b/>
          <w:color w:val="525866"/>
          <w:sz w:val="22"/>
        </w:rPr>
        <w:t>Backlog "a little bit more elongated,"</w:t>
      </w:r>
      <w:r>
        <w:rPr>
          <w:rFonts w:ascii="Calibri" w:hAnsi="Calibri"/>
          <w:color w:val="525866"/>
          <w:sz w:val="22"/>
        </w:rPr>
        <w:t xml:space="preserve"> providing good visibility into 2027; pipeline generation described as "robust"; orders expected up year-over-year.</w:t>
      </w:r>
    </w:p>
    <w:p>
      <w:pPr>
        <w:pStyle w:val="ListBullet"/>
        <w:ind w:left="360" w:hanging="360"/>
      </w:pPr>
      <w:r>
        <w:rPr>
          <w:rFonts w:ascii="Calibri" w:hAnsi="Calibri"/>
          <w:b/>
          <w:color w:val="525866"/>
          <w:sz w:val="22"/>
        </w:rPr>
        <w:t>"We're still in the early stages of the infrastructure build-out for AI"</w:t>
      </w:r>
      <w:r>
        <w:rPr>
          <w:rFonts w:ascii="Calibri" w:hAnsi="Calibri"/>
          <w:color w:val="525866"/>
          <w:sz w:val="22"/>
        </w:rPr>
        <w:t xml:space="preserve"> — broad-based strength across hyperscale, colo, and Neo cloud globally.</w:t>
      </w:r>
    </w:p>
    <w:p>
      <w:pPr>
        <w:pStyle w:val="ListBullet"/>
        <w:ind w:left="360" w:hanging="360"/>
      </w:pPr>
      <w:r>
        <w:rPr>
          <w:rFonts w:ascii="Calibri" w:hAnsi="Calibri"/>
          <w:i/>
          <w:color w:val="525866"/>
          <w:sz w:val="22"/>
        </w:rPr>
        <w:t xml:space="preserve">Management quote: </w:t>
      </w:r>
      <w:r>
        <w:rPr>
          <w:rFonts w:ascii="Calibri" w:hAnsi="Calibri"/>
          <w:i/>
          <w:color w:val="525866"/>
          <w:sz w:val="22"/>
        </w:rPr>
        <w:t>"The urgency has increased. The scale of deployments is larger."</w:t>
      </w:r>
    </w:p>
    <w:p>
      <w:pPr>
        <w:pStyle w:val="ListBullet"/>
        <w:ind w:left="360" w:hanging="360"/>
      </w:pPr>
      <w:r>
        <w:rPr>
          <w:rFonts w:ascii="Calibri" w:hAnsi="Calibri"/>
          <w:b/>
          <w:color w:val="525866"/>
          <w:sz w:val="22"/>
        </w:rPr>
        <w:t xml:space="preserve">GNRC Read-Through: </w:t>
      </w:r>
      <w:r>
        <w:rPr>
          <w:rFonts w:ascii="Calibri" w:hAnsi="Calibri"/>
          <w:color w:val="525866"/>
          <w:sz w:val="22"/>
        </w:rPr>
        <w:t>VRT's 27% Q2 revenue growth guidance and elongated backlog (12–18 month delivery windows) directly mirrors GNRC's own backlog dynamics. VRT's commentary that they are "still in early stages" of AI infrastructure buildout is the most important read-through — it suggests GNRC's data center opportunity is multi-year, not a one-time pull-forward.</w:t>
      </w:r>
    </w:p>
    <w:p>
      <w:pPr>
        <w:pStyle w:val="Heading3"/>
      </w:pPr>
      <w:r>
        <w:rPr>
          <w:rFonts w:ascii="Calibri" w:hAnsi="Calibri"/>
          <w:b/>
          <w:color w:val="3B4259"/>
          <w:sz w:val="24"/>
        </w:rPr>
        <w:t>Residential Energy / Solar &amp; Storage — Cautious Read-Through</w:t>
      </w:r>
    </w:p>
    <w:p>
      <w:pPr>
        <w:pStyle w:val="Heading4"/>
      </w:pPr>
      <w:r>
        <w:rPr>
          <w:rFonts w:ascii="Calibri" w:hAnsi="Calibri"/>
          <w:b/>
          <w:color w:val="3B4259"/>
          <w:sz w:val="22"/>
        </w:rPr>
        <w:t>Enphase Energy (ENPH) — Q2 2026 Earnings (July 28, 2026)</w:t>
      </w:r>
    </w:p>
    <w:p>
      <w:pPr>
        <w:pStyle w:val="ListBullet"/>
        <w:ind w:left="360" w:hanging="360"/>
      </w:pPr>
      <w:r>
        <w:rPr>
          <w:rFonts w:ascii="Calibri" w:hAnsi="Calibri"/>
          <w:b/>
          <w:color w:val="525866"/>
          <w:sz w:val="22"/>
        </w:rPr>
        <w:t>US sell-through declined 34% year-over-year in Q2 2026</w:t>
      </w:r>
      <w:r>
        <w:rPr>
          <w:rFonts w:ascii="Calibri" w:hAnsi="Calibri"/>
          <w:color w:val="525866"/>
          <w:sz w:val="22"/>
        </w:rPr>
        <w:t>, reflecting continued pressure from higher interest rates and expiration of the 25D tax credit.</w:t>
      </w:r>
    </w:p>
    <w:p>
      <w:pPr>
        <w:pStyle w:val="ListBullet"/>
        <w:ind w:left="360" w:hanging="360"/>
      </w:pPr>
      <w:r>
        <w:rPr>
          <w:rFonts w:ascii="Calibri" w:hAnsi="Calibri"/>
          <w:b/>
          <w:color w:val="525866"/>
          <w:sz w:val="22"/>
        </w:rPr>
        <w:t>US revenue declined 3% sequentially</w:t>
      </w:r>
      <w:r>
        <w:rPr>
          <w:rFonts w:ascii="Calibri" w:hAnsi="Calibri"/>
          <w:color w:val="525866"/>
          <w:sz w:val="22"/>
        </w:rPr>
        <w:t>; distributors remain cautious amid macroeconomic uncertainty including interest rates.</w:t>
      </w:r>
    </w:p>
    <w:p>
      <w:pPr>
        <w:pStyle w:val="ListBullet"/>
        <w:ind w:left="360" w:hanging="360"/>
      </w:pPr>
      <w:r>
        <w:rPr>
          <w:rFonts w:ascii="Calibri" w:hAnsi="Calibri"/>
          <w:b/>
          <w:color w:val="525866"/>
          <w:sz w:val="22"/>
        </w:rPr>
        <w:t xml:space="preserve">Stabilization signals emerging: </w:t>
      </w:r>
      <w:r>
        <w:rPr>
          <w:rFonts w:ascii="Calibri" w:hAnsi="Calibri"/>
          <w:color w:val="525866"/>
          <w:sz w:val="22"/>
        </w:rPr>
        <w:t>industry-wide permits in June increased 4% from May and upstream sales activity rose 5%, though both remain ~30% below prior year levels.</w:t>
      </w:r>
    </w:p>
    <w:p>
      <w:pPr>
        <w:pStyle w:val="ListBullet"/>
        <w:ind w:left="360" w:hanging="360"/>
      </w:pPr>
      <w:r>
        <w:rPr>
          <w:rFonts w:ascii="Calibri" w:hAnsi="Calibri"/>
          <w:b/>
          <w:color w:val="525866"/>
          <w:sz w:val="22"/>
        </w:rPr>
        <w:t>Battery attachment near 40% nationally</w:t>
      </w:r>
      <w:r>
        <w:rPr>
          <w:rFonts w:ascii="Calibri" w:hAnsi="Calibri"/>
          <w:color w:val="525866"/>
          <w:sz w:val="22"/>
        </w:rPr>
        <w:t>; battery shipments of 113.8 MWh exceeded high end of guidance — storage demand holding up better than solar.</w:t>
      </w:r>
    </w:p>
    <w:p>
      <w:pPr>
        <w:pStyle w:val="ListBullet"/>
        <w:ind w:left="360" w:hanging="360"/>
      </w:pPr>
      <w:r>
        <w:rPr>
          <w:rFonts w:ascii="Calibri" w:hAnsi="Calibri"/>
          <w:b/>
          <w:color w:val="525866"/>
          <w:sz w:val="22"/>
        </w:rPr>
        <w:t>Q3 2026 guidance: revenue $290–320M (+5% at midpoint)</w:t>
      </w:r>
      <w:r>
        <w:rPr>
          <w:rFonts w:ascii="Calibri" w:hAnsi="Calibri"/>
          <w:color w:val="525866"/>
          <w:sz w:val="22"/>
        </w:rPr>
        <w:t>; global sell-through expected to increase 10% vs Q2.</w:t>
      </w:r>
    </w:p>
    <w:p>
      <w:pPr>
        <w:pStyle w:val="ListBullet"/>
        <w:ind w:left="360" w:hanging="360"/>
      </w:pPr>
      <w:r>
        <w:rPr>
          <w:rFonts w:ascii="Calibri" w:hAnsi="Calibri"/>
          <w:b/>
          <w:color w:val="525866"/>
          <w:sz w:val="22"/>
        </w:rPr>
        <w:t xml:space="preserve">GNRC Read-Through: </w:t>
      </w:r>
      <w:r>
        <w:rPr>
          <w:rFonts w:ascii="Calibri" w:hAnsi="Calibri"/>
          <w:color w:val="525866"/>
          <w:sz w:val="22"/>
        </w:rPr>
        <w:t>ENPH's continued US residential solar weakness is a modest negative read-through for GNRC's residential energy technology segment (solar/storage). However, GNRC's residential energy tech is a small part of the business and management has already guided for an "air pocket" through 2026. The stabilization signals (permits up 4% in June) are mildly encouraging for GNRC's 2027 energy tech recovery thesis. Battery attachment near 40% is a positive for the broader home energy ecosystem.</w:t>
      </w:r>
    </w:p>
    <w:p>
      <w:r>
        <w:br w:type="page"/>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color w:val="525866"/>
          <w:sz w:val="22"/>
        </w:rPr>
        <w:t xml:space="preserve">The </w:t>
      </w:r>
      <w:r>
        <w:rPr>
          <w:rFonts w:ascii="Calibri" w:hAnsi="Calibri"/>
          <w:b/>
          <w:color w:val="525866"/>
          <w:sz w:val="22"/>
        </w:rPr>
        <w:t>June 2 hyperscale supply agreement</w:t>
      </w:r>
      <w:r>
        <w:rPr>
          <w:rFonts w:ascii="Calibri" w:hAnsi="Calibri"/>
          <w:color w:val="525866"/>
          <w:sz w:val="22"/>
        </w:rPr>
        <w:t xml:space="preserve"> is the most significant development since Q1 earnings — it validates GNRC's data center pivot and confirms vendor approval progress. The Belvidere facility acquisition (June 15) demonstrates continued capacity investment to meet accelerating demand.</w:t>
      </w:r>
    </w:p>
    <w:p>
      <w:pPr>
        <w:pStyle w:val="ListBullet"/>
        <w:ind w:left="360" w:hanging="360"/>
      </w:pPr>
      <w:r>
        <w:rPr>
          <w:rFonts w:ascii="Calibri" w:hAnsi="Calibri"/>
          <w:b/>
          <w:color w:val="525866"/>
          <w:sz w:val="22"/>
        </w:rPr>
        <w:t xml:space="preserve">June 2, 2026 — Hyperscale Supply Agreement: </w:t>
      </w:r>
      <w:r>
        <w:rPr>
          <w:rFonts w:ascii="Calibri" w:hAnsi="Calibri"/>
          <w:color w:val="525866"/>
          <w:sz w:val="22"/>
        </w:rPr>
        <w:t xml:space="preserve">Generac signed a </w:t>
      </w:r>
      <w:r>
        <w:rPr>
          <w:rFonts w:ascii="Calibri" w:hAnsi="Calibri"/>
          <w:b/>
          <w:color w:val="525866"/>
          <w:sz w:val="22"/>
        </w:rPr>
        <w:t>global supply agreement with a leading hyperscale data center operator</w:t>
      </w:r>
      <w:r>
        <w:rPr>
          <w:rFonts w:ascii="Calibri" w:hAnsi="Calibri"/>
          <w:color w:val="525866"/>
          <w:sz w:val="22"/>
        </w:rPr>
        <w:t xml:space="preserve"> to supply backup power generators. The agreement followed a rigorous qualification process including factory visits, performance reviews, and audits. Shares surged ~8% on the announcement. Widely speculated to be connected to the Stargate AI data center project (OpenAI/Oracle/SoftBank). </w:t>
      </w:r>
      <w:r>
        <w:rPr>
          <w:rFonts w:ascii="Calibri" w:hAnsi="Calibri"/>
          <w:i/>
          <w:color w:val="525866"/>
          <w:sz w:val="22"/>
        </w:rPr>
        <w:t xml:space="preserve">Implication: </w:t>
      </w:r>
      <w:r>
        <w:rPr>
          <w:rFonts w:ascii="Calibri" w:hAnsi="Calibri"/>
          <w:i/>
          <w:color w:val="525866"/>
          <w:sz w:val="22"/>
        </w:rPr>
        <w:t>Validates GNRC's vendor approval progress and confirms it is winning hyperscale business — the key debate heading into Q2.</w:t>
      </w:r>
    </w:p>
    <w:p>
      <w:pPr>
        <w:pStyle w:val="ListBullet"/>
        <w:ind w:left="360" w:hanging="360"/>
      </w:pPr>
      <w:r>
        <w:rPr>
          <w:rFonts w:ascii="Calibri" w:hAnsi="Calibri"/>
          <w:b/>
          <w:color w:val="525866"/>
          <w:sz w:val="22"/>
        </w:rPr>
        <w:t xml:space="preserve">June 15, 2026 — Belvidere, IL Facility Acquisition: </w:t>
      </w:r>
      <w:r>
        <w:rPr>
          <w:rFonts w:ascii="Calibri" w:hAnsi="Calibri"/>
          <w:color w:val="525866"/>
          <w:sz w:val="22"/>
        </w:rPr>
        <w:t xml:space="preserve">Generac acquired a new facility in Belvidere, Illinois to expand </w:t>
      </w:r>
      <w:r>
        <w:rPr>
          <w:rFonts w:ascii="Calibri" w:hAnsi="Calibri"/>
          <w:b/>
          <w:color w:val="525866"/>
          <w:sz w:val="22"/>
        </w:rPr>
        <w:t>large-megawatt generator packaging capacity</w:t>
      </w:r>
      <w:r>
        <w:rPr>
          <w:rFonts w:ascii="Calibri" w:hAnsi="Calibri"/>
          <w:color w:val="525866"/>
          <w:sz w:val="22"/>
        </w:rPr>
        <w:t xml:space="preserve">. The facility will complement Enercon's operations (acquired April 1) and expand enclosure assembly and final packaging capacity. Expected to add 100+ jobs when it opens in Q1 2027. </w:t>
      </w:r>
      <w:r>
        <w:rPr>
          <w:rFonts w:ascii="Calibri" w:hAnsi="Calibri"/>
          <w:i/>
          <w:color w:val="525866"/>
          <w:sz w:val="22"/>
        </w:rPr>
        <w:t xml:space="preserve">Implication: </w:t>
      </w:r>
      <w:r>
        <w:rPr>
          <w:rFonts w:ascii="Calibri" w:hAnsi="Calibri"/>
          <w:i/>
          <w:color w:val="525866"/>
          <w:sz w:val="22"/>
        </w:rPr>
        <w:t>Demonstrates management is investing ahead of demand — consistent with the Sussex facility pull-forward to Q3 2026.</w:t>
      </w:r>
    </w:p>
    <w:p>
      <w:pPr>
        <w:pStyle w:val="ListBullet"/>
        <w:ind w:left="360" w:hanging="360"/>
      </w:pPr>
      <w:r>
        <w:rPr>
          <w:rFonts w:ascii="Calibri" w:hAnsi="Calibri"/>
          <w:b/>
          <w:color w:val="525866"/>
          <w:sz w:val="22"/>
        </w:rPr>
        <w:t xml:space="preserve">July 15, 2026 — Q2 Earnings Date Announcement: </w:t>
      </w:r>
      <w:r>
        <w:rPr>
          <w:rFonts w:ascii="Calibri" w:hAnsi="Calibri"/>
          <w:color w:val="525866"/>
          <w:sz w:val="22"/>
        </w:rPr>
        <w:t>Generac confirmed Q2 2026 earnings release on July 29, 2026 (before market open), with conference call at 10:00 AM EDT.</w:t>
      </w:r>
    </w:p>
    <w:p>
      <w:pPr>
        <w:pStyle w:val="ListBullet"/>
        <w:ind w:left="360" w:hanging="360"/>
      </w:pPr>
      <w:r>
        <w:rPr>
          <w:rFonts w:ascii="Calibri" w:hAnsi="Calibri"/>
          <w:b/>
          <w:color w:val="525866"/>
          <w:sz w:val="22"/>
        </w:rPr>
        <w:t xml:space="preserve">Early July 2026 — Bank of America PT Cut: </w:t>
      </w:r>
      <w:r>
        <w:rPr>
          <w:rFonts w:ascii="Calibri" w:hAnsi="Calibri"/>
          <w:color w:val="525866"/>
          <w:sz w:val="22"/>
        </w:rPr>
        <w:t xml:space="preserve">BofA lowered its price target on GNRC to </w:t>
      </w:r>
      <w:r>
        <w:rPr>
          <w:rFonts w:ascii="Calibri" w:hAnsi="Calibri"/>
          <w:b/>
          <w:color w:val="525866"/>
          <w:sz w:val="22"/>
        </w:rPr>
        <w:t>$224 from $236</w:t>
      </w:r>
      <w:r>
        <w:rPr>
          <w:rFonts w:ascii="Calibri" w:hAnsi="Calibri"/>
          <w:color w:val="525866"/>
          <w:sz w:val="22"/>
        </w:rPr>
        <w:t xml:space="preserve"> (maintaining Buy rating), citing data center strategy concerns. Contributed to the stock's ~10% decline on July 7. </w:t>
      </w:r>
      <w:r>
        <w:rPr>
          <w:rFonts w:ascii="Calibri" w:hAnsi="Calibri"/>
          <w:i/>
          <w:color w:val="525866"/>
          <w:sz w:val="22"/>
        </w:rPr>
        <w:t xml:space="preserve">Implication: </w:t>
      </w:r>
      <w:r>
        <w:rPr>
          <w:rFonts w:ascii="Calibri" w:hAnsi="Calibri"/>
          <w:i/>
          <w:color w:val="525866"/>
          <w:sz w:val="22"/>
        </w:rPr>
        <w:t>Even with a Buy rating, the PT cut reflects analyst caution about the pace of data center revenue conversion — the key question for Q2.</w:t>
      </w:r>
    </w:p>
    <w:p>
      <w:pPr>
        <w:pStyle w:val="ListBullet"/>
        <w:ind w:left="360" w:hanging="360"/>
      </w:pPr>
      <w:r>
        <w:rPr>
          <w:rFonts w:ascii="Calibri" w:hAnsi="Calibri"/>
          <w:b/>
          <w:color w:val="525866"/>
          <w:sz w:val="22"/>
        </w:rPr>
        <w:t xml:space="preserve">Analyst Consensus: </w:t>
      </w:r>
      <w:r>
        <w:rPr>
          <w:rFonts w:ascii="Calibri" w:hAnsi="Calibri"/>
          <w:color w:val="525866"/>
          <w:sz w:val="22"/>
        </w:rPr>
        <w:t>11 Buy, 6 Hold, 0 Sell ratings; median price target ~$285 (vs. current ~$197). Significant upside implied if Q2 confirms the data center ramp. Recent upgrades include Jefferies (Hold to Buy, PT $302) and UBS (PT raised to $335).</w:t>
      </w:r>
    </w:p>
    <w:p>
      <w:pPr>
        <w:pStyle w:val="ListBullet"/>
        <w:ind w:left="360" w:hanging="360"/>
      </w:pPr>
      <w:r>
        <w:rPr>
          <w:rFonts w:ascii="Calibri" w:hAnsi="Calibri"/>
          <w:b/>
          <w:color w:val="525866"/>
          <w:sz w:val="22"/>
        </w:rPr>
        <w:t xml:space="preserve">Sussex, WI Facility Update: </w:t>
      </w:r>
      <w:r>
        <w:rPr>
          <w:rFonts w:ascii="Calibri" w:hAnsi="Calibri"/>
          <w:color w:val="525866"/>
          <w:sz w:val="22"/>
        </w:rPr>
        <w:t>Management pulled forward production start from Q4 to Q3 2026 at Q1 earnings — Q2 call should provide an update on whether this is on track and whether it contributed to Q2 C&amp;I revenue.</w:t>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color w:val="525866"/>
          <w:sz w:val="22"/>
        </w:rPr>
        <w:t xml:space="preserve">CEO Aaron Jagdfeld has been selling shares on a regular 10b5-1 plan (5,000 shares/month), which is routine and not a signal. </w:t>
      </w:r>
      <w:r>
        <w:rPr>
          <w:rFonts w:ascii="Calibri" w:hAnsi="Calibri"/>
          <w:b/>
          <w:color w:val="525866"/>
          <w:sz w:val="22"/>
        </w:rPr>
        <w:t>No open-market discretionary buys from any insider since Q1 earnings</w:t>
      </w:r>
      <w:r>
        <w:rPr>
          <w:rFonts w:ascii="Calibri" w:hAnsi="Calibri"/>
          <w:color w:val="525866"/>
          <w:sz w:val="22"/>
        </w:rPr>
        <w:t xml:space="preserve"> — notable absence given the stock's -22.7% decline.</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Value (Approx.)</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Aaron Jagdfeld</w:t>
            </w:r>
          </w:p>
        </w:tc>
        <w:tc>
          <w:tcPr>
            <w:tcW w:type="dxa" w:w="1234"/>
          </w:tcPr>
          <w:p>
            <w:r>
              <w:rPr>
                <w:rFonts w:ascii="Calibri" w:hAnsi="Calibri"/>
                <w:sz w:val="22"/>
              </w:rPr>
              <w:t>CEO</w:t>
            </w:r>
          </w:p>
        </w:tc>
        <w:tc>
          <w:tcPr>
            <w:tcW w:type="dxa" w:w="1234"/>
          </w:tcPr>
          <w:p>
            <w:r>
              <w:rPr>
                <w:rFonts w:ascii="Calibri" w:hAnsi="Calibri"/>
                <w:sz w:val="22"/>
              </w:rPr>
              <w:t>10b5-1 Planned Sale</w:t>
            </w:r>
          </w:p>
        </w:tc>
        <w:tc>
          <w:tcPr>
            <w:tcW w:type="dxa" w:w="1234"/>
          </w:tcPr>
          <w:p>
            <w:r>
              <w:rPr>
                <w:rFonts w:ascii="Calibri" w:hAnsi="Calibri"/>
                <w:sz w:val="22"/>
              </w:rPr>
              <w:t>5,000</w:t>
            </w:r>
          </w:p>
        </w:tc>
        <w:tc>
          <w:tcPr>
            <w:tcW w:type="dxa" w:w="1234"/>
          </w:tcPr>
          <w:p>
            <w:r>
              <w:rPr>
                <w:rFonts w:ascii="Calibri" w:hAnsi="Calibri"/>
                <w:sz w:val="22"/>
              </w:rPr>
              <w:t>~$986K</w:t>
            </w:r>
          </w:p>
        </w:tc>
        <w:tc>
          <w:tcPr>
            <w:tcW w:type="dxa" w:w="1234"/>
          </w:tcPr>
          <w:p>
            <w:r>
              <w:rPr>
                <w:rFonts w:ascii="Calibri" w:hAnsi="Calibri"/>
                <w:sz w:val="22"/>
              </w:rPr>
              <w:t>July 2, 2026</w:t>
            </w:r>
          </w:p>
        </w:tc>
        <w:tc>
          <w:tcPr>
            <w:tcW w:type="dxa" w:w="1234"/>
          </w:tcPr>
          <w:p>
            <w:r>
              <w:rPr>
                <w:rFonts w:ascii="Calibri" w:hAnsi="Calibri"/>
                <w:sz w:val="22"/>
              </w:rPr>
              <w:t>Routine monthly 10b5-1 plan; 3rd consecutive month</w:t>
            </w:r>
          </w:p>
        </w:tc>
      </w:tr>
      <w:tr>
        <w:tc>
          <w:tcPr>
            <w:tcW w:type="dxa" w:w="1234"/>
          </w:tcPr>
          <w:p>
            <w:r>
              <w:rPr>
                <w:rFonts w:ascii="Calibri" w:hAnsi="Calibri"/>
                <w:sz w:val="22"/>
              </w:rPr>
              <w:t>Norman P. Taffe</w:t>
            </w:r>
          </w:p>
        </w:tc>
        <w:tc>
          <w:tcPr>
            <w:tcW w:type="dxa" w:w="1234"/>
          </w:tcPr>
          <w:p>
            <w:r>
              <w:rPr>
                <w:rFonts w:ascii="Calibri" w:hAnsi="Calibri"/>
                <w:sz w:val="22"/>
              </w:rPr>
              <w:t>President, Generac Home</w:t>
            </w:r>
          </w:p>
        </w:tc>
        <w:tc>
          <w:tcPr>
            <w:tcW w:type="dxa" w:w="1234"/>
          </w:tcPr>
          <w:p>
            <w:r>
              <w:rPr>
                <w:rFonts w:ascii="Calibri" w:hAnsi="Calibri"/>
                <w:sz w:val="22"/>
              </w:rPr>
              <w:t>Option Exercise + Sale</w:t>
            </w:r>
          </w:p>
        </w:tc>
        <w:tc>
          <w:tcPr>
            <w:tcW w:type="dxa" w:w="1234"/>
          </w:tcPr>
          <w:p>
            <w:r>
              <w:rPr>
                <w:rFonts w:ascii="Calibri" w:hAnsi="Calibri"/>
                <w:sz w:val="22"/>
              </w:rPr>
              <w:t>550 (net)</w:t>
            </w:r>
          </w:p>
        </w:tc>
        <w:tc>
          <w:tcPr>
            <w:tcW w:type="dxa" w:w="1234"/>
          </w:tcPr>
          <w:p>
            <w:r>
              <w:rPr>
                <w:rFonts w:ascii="Calibri" w:hAnsi="Calibri"/>
                <w:sz w:val="22"/>
              </w:rPr>
              <w:t>~$109K</w:t>
            </w:r>
          </w:p>
        </w:tc>
        <w:tc>
          <w:tcPr>
            <w:tcW w:type="dxa" w:w="1234"/>
          </w:tcPr>
          <w:p>
            <w:r>
              <w:rPr>
                <w:rFonts w:ascii="Calibri" w:hAnsi="Calibri"/>
                <w:sz w:val="22"/>
              </w:rPr>
              <w:t>July 7, 2026</w:t>
            </w:r>
          </w:p>
        </w:tc>
        <w:tc>
          <w:tcPr>
            <w:tcW w:type="dxa" w:w="1234"/>
          </w:tcPr>
          <w:p>
            <w:r>
              <w:rPr>
                <w:rFonts w:ascii="Calibri" w:hAnsi="Calibri"/>
                <w:sz w:val="22"/>
              </w:rPr>
              <w:t>Exercise of stock options + sale; 10b5-1 plan</w:t>
            </w:r>
          </w:p>
        </w:tc>
      </w:tr>
      <w:tr>
        <w:tc>
          <w:tcPr>
            <w:tcW w:type="dxa" w:w="1234"/>
          </w:tcPr>
          <w:p>
            <w:r>
              <w:rPr>
                <w:rFonts w:ascii="Calibri" w:hAnsi="Calibri"/>
                <w:sz w:val="22"/>
              </w:rPr>
              <w:t>Aaron Jagdfeld</w:t>
            </w:r>
          </w:p>
        </w:tc>
        <w:tc>
          <w:tcPr>
            <w:tcW w:type="dxa" w:w="1234"/>
          </w:tcPr>
          <w:p>
            <w:r>
              <w:rPr>
                <w:rFonts w:ascii="Calibri" w:hAnsi="Calibri"/>
                <w:sz w:val="22"/>
              </w:rPr>
              <w:t>CEO</w:t>
            </w:r>
          </w:p>
        </w:tc>
        <w:tc>
          <w:tcPr>
            <w:tcW w:type="dxa" w:w="1234"/>
          </w:tcPr>
          <w:p>
            <w:r>
              <w:rPr>
                <w:rFonts w:ascii="Calibri" w:hAnsi="Calibri"/>
                <w:sz w:val="22"/>
              </w:rPr>
              <w:t>10b5-1 Planned Sale</w:t>
            </w:r>
          </w:p>
        </w:tc>
        <w:tc>
          <w:tcPr>
            <w:tcW w:type="dxa" w:w="1234"/>
          </w:tcPr>
          <w:p>
            <w:r>
              <w:rPr>
                <w:rFonts w:ascii="Calibri" w:hAnsi="Calibri"/>
                <w:sz w:val="22"/>
              </w:rPr>
              <w:t>5,000</w:t>
            </w:r>
          </w:p>
        </w:tc>
        <w:tc>
          <w:tcPr>
            <w:tcW w:type="dxa" w:w="1234"/>
          </w:tcPr>
          <w:p>
            <w:r>
              <w:rPr>
                <w:rFonts w:ascii="Calibri" w:hAnsi="Calibri"/>
                <w:sz w:val="22"/>
              </w:rPr>
              <w:t>~$1.43M</w:t>
            </w:r>
          </w:p>
        </w:tc>
        <w:tc>
          <w:tcPr>
            <w:tcW w:type="dxa" w:w="1234"/>
          </w:tcPr>
          <w:p>
            <w:r>
              <w:rPr>
                <w:rFonts w:ascii="Calibri" w:hAnsi="Calibri"/>
                <w:sz w:val="22"/>
              </w:rPr>
              <w:t>June 3, 2026</w:t>
            </w:r>
          </w:p>
        </w:tc>
        <w:tc>
          <w:tcPr>
            <w:tcW w:type="dxa" w:w="1234"/>
          </w:tcPr>
          <w:p>
            <w:r>
              <w:rPr>
                <w:rFonts w:ascii="Calibri" w:hAnsi="Calibri"/>
                <w:sz w:val="22"/>
              </w:rPr>
              <w:t>Routine monthly 10b5-1 plan</w:t>
            </w:r>
          </w:p>
        </w:tc>
      </w:tr>
      <w:tr>
        <w:tc>
          <w:tcPr>
            <w:tcW w:type="dxa" w:w="1234"/>
          </w:tcPr>
          <w:p>
            <w:r>
              <w:rPr>
                <w:rFonts w:ascii="Calibri" w:hAnsi="Calibri"/>
                <w:sz w:val="22"/>
              </w:rPr>
              <w:t>Norman P. Taffe</w:t>
            </w:r>
          </w:p>
        </w:tc>
        <w:tc>
          <w:tcPr>
            <w:tcW w:type="dxa" w:w="1234"/>
          </w:tcPr>
          <w:p>
            <w:r>
              <w:rPr>
                <w:rFonts w:ascii="Calibri" w:hAnsi="Calibri"/>
                <w:sz w:val="22"/>
              </w:rPr>
              <w:t>President, Generac Home</w:t>
            </w:r>
          </w:p>
        </w:tc>
        <w:tc>
          <w:tcPr>
            <w:tcW w:type="dxa" w:w="1234"/>
          </w:tcPr>
          <w:p>
            <w:r>
              <w:rPr>
                <w:rFonts w:ascii="Calibri" w:hAnsi="Calibri"/>
                <w:sz w:val="22"/>
              </w:rPr>
              <w:t>Option Exercise + Sale</w:t>
            </w:r>
          </w:p>
        </w:tc>
        <w:tc>
          <w:tcPr>
            <w:tcW w:type="dxa" w:w="1234"/>
          </w:tcPr>
          <w:p>
            <w:r>
              <w:rPr>
                <w:rFonts w:ascii="Calibri" w:hAnsi="Calibri"/>
                <w:sz w:val="22"/>
              </w:rPr>
              <w:t>550 (net)</w:t>
            </w:r>
          </w:p>
        </w:tc>
        <w:tc>
          <w:tcPr>
            <w:tcW w:type="dxa" w:w="1234"/>
          </w:tcPr>
          <w:p>
            <w:r>
              <w:rPr>
                <w:rFonts w:ascii="Calibri" w:hAnsi="Calibri"/>
                <w:sz w:val="22"/>
              </w:rPr>
              <w:t>~$144K</w:t>
            </w:r>
          </w:p>
        </w:tc>
        <w:tc>
          <w:tcPr>
            <w:tcW w:type="dxa" w:w="1234"/>
          </w:tcPr>
          <w:p>
            <w:r>
              <w:rPr>
                <w:rFonts w:ascii="Calibri" w:hAnsi="Calibri"/>
                <w:sz w:val="22"/>
              </w:rPr>
              <w:t>June 8, 2026</w:t>
            </w:r>
          </w:p>
        </w:tc>
        <w:tc>
          <w:tcPr>
            <w:tcW w:type="dxa" w:w="1234"/>
          </w:tcPr>
          <w:p>
            <w:r>
              <w:rPr>
                <w:rFonts w:ascii="Calibri" w:hAnsi="Calibri"/>
                <w:sz w:val="22"/>
              </w:rPr>
              <w:t>Exercise of stock options + sale; 10b5-1 plan</w:t>
            </w:r>
          </w:p>
        </w:tc>
      </w:tr>
      <w:tr>
        <w:tc>
          <w:tcPr>
            <w:tcW w:type="dxa" w:w="1234"/>
          </w:tcPr>
          <w:p>
            <w:r>
              <w:rPr>
                <w:rFonts w:ascii="Calibri" w:hAnsi="Calibri"/>
                <w:sz w:val="22"/>
              </w:rPr>
              <w:t>Aaron Jagdfeld</w:t>
            </w:r>
          </w:p>
        </w:tc>
        <w:tc>
          <w:tcPr>
            <w:tcW w:type="dxa" w:w="1234"/>
          </w:tcPr>
          <w:p>
            <w:r>
              <w:rPr>
                <w:rFonts w:ascii="Calibri" w:hAnsi="Calibri"/>
                <w:sz w:val="22"/>
              </w:rPr>
              <w:t>CEO</w:t>
            </w:r>
          </w:p>
        </w:tc>
        <w:tc>
          <w:tcPr>
            <w:tcW w:type="dxa" w:w="1234"/>
          </w:tcPr>
          <w:p>
            <w:r>
              <w:rPr>
                <w:rFonts w:ascii="Calibri" w:hAnsi="Calibri"/>
                <w:sz w:val="22"/>
              </w:rPr>
              <w:t>10b5-1 Planned Sale</w:t>
            </w:r>
          </w:p>
        </w:tc>
        <w:tc>
          <w:tcPr>
            <w:tcW w:type="dxa" w:w="1234"/>
          </w:tcPr>
          <w:p>
            <w:r>
              <w:rPr>
                <w:rFonts w:ascii="Calibri" w:hAnsi="Calibri"/>
                <w:sz w:val="22"/>
              </w:rPr>
              <w:t>5,000</w:t>
            </w:r>
          </w:p>
        </w:tc>
        <w:tc>
          <w:tcPr>
            <w:tcW w:type="dxa" w:w="1234"/>
          </w:tcPr>
          <w:p>
            <w:r>
              <w:rPr>
                <w:rFonts w:ascii="Calibri" w:hAnsi="Calibri"/>
                <w:sz w:val="22"/>
              </w:rPr>
              <w:t>~$1.30M</w:t>
            </w:r>
          </w:p>
        </w:tc>
        <w:tc>
          <w:tcPr>
            <w:tcW w:type="dxa" w:w="1234"/>
          </w:tcPr>
          <w:p>
            <w:r>
              <w:rPr>
                <w:rFonts w:ascii="Calibri" w:hAnsi="Calibri"/>
                <w:sz w:val="22"/>
              </w:rPr>
              <w:t>May 5, 2026</w:t>
            </w:r>
          </w:p>
        </w:tc>
        <w:tc>
          <w:tcPr>
            <w:tcW w:type="dxa" w:w="1234"/>
          </w:tcPr>
          <w:p>
            <w:r>
              <w:rPr>
                <w:rFonts w:ascii="Calibri" w:hAnsi="Calibri"/>
                <w:sz w:val="22"/>
              </w:rPr>
              <w:t>Routine monthly 10b5-1 plan</w:t>
            </w:r>
          </w:p>
        </w:tc>
      </w:tr>
      <w:tr>
        <w:tc>
          <w:tcPr>
            <w:tcW w:type="dxa" w:w="1234"/>
          </w:tcPr>
          <w:p>
            <w:r>
              <w:rPr>
                <w:rFonts w:ascii="Calibri" w:hAnsi="Calibri"/>
                <w:sz w:val="22"/>
              </w:rPr>
              <w:t>Multiple Directors (7)</w:t>
            </w:r>
          </w:p>
        </w:tc>
        <w:tc>
          <w:tcPr>
            <w:tcW w:type="dxa" w:w="1234"/>
          </w:tcPr>
          <w:p>
            <w:r>
              <w:rPr>
                <w:rFonts w:ascii="Calibri" w:hAnsi="Calibri"/>
                <w:sz w:val="22"/>
              </w:rPr>
              <w:t>Board</w:t>
            </w:r>
          </w:p>
        </w:tc>
        <w:tc>
          <w:tcPr>
            <w:tcW w:type="dxa" w:w="1234"/>
          </w:tcPr>
          <w:p>
            <w:r>
              <w:rPr>
                <w:rFonts w:ascii="Calibri" w:hAnsi="Calibri"/>
                <w:sz w:val="22"/>
              </w:rPr>
              <w:t>Equity Award</w:t>
            </w:r>
          </w:p>
        </w:tc>
        <w:tc>
          <w:tcPr>
            <w:tcW w:type="dxa" w:w="1234"/>
          </w:tcPr>
          <w:p>
            <w:r>
              <w:rPr>
                <w:rFonts w:ascii="Calibri" w:hAnsi="Calibri"/>
                <w:sz w:val="22"/>
              </w:rPr>
              <w:t>699–825 each</w:t>
            </w:r>
          </w:p>
        </w:tc>
        <w:tc>
          <w:tcPr>
            <w:tcW w:type="dxa" w:w="1234"/>
          </w:tcPr>
          <w:p>
            <w:r>
              <w:rPr>
                <w:rFonts w:ascii="Calibri" w:hAnsi="Calibri"/>
                <w:sz w:val="22"/>
              </w:rPr>
              <w:t>N/A</w:t>
            </w:r>
          </w:p>
        </w:tc>
        <w:tc>
          <w:tcPr>
            <w:tcW w:type="dxa" w:w="1234"/>
          </w:tcPr>
          <w:p>
            <w:r>
              <w:rPr>
                <w:rFonts w:ascii="Calibri" w:hAnsi="Calibri"/>
                <w:sz w:val="22"/>
              </w:rPr>
              <w:t>May 5, 2026</w:t>
            </w:r>
          </w:p>
        </w:tc>
        <w:tc>
          <w:tcPr>
            <w:tcW w:type="dxa" w:w="1234"/>
          </w:tcPr>
          <w:p>
            <w:r>
              <w:rPr>
                <w:rFonts w:ascii="Calibri" w:hAnsi="Calibri"/>
                <w:sz w:val="22"/>
              </w:rPr>
              <w:t>Annual director equity compensation grants; not open-market</w:t>
            </w:r>
          </w:p>
        </w:tc>
      </w:tr>
    </w:tbl>
    <w:p>
      <w:r>
        <w:rPr>
          <w:rFonts w:ascii="Calibri" w:hAnsi="Calibri"/>
          <w:color w:val="525866"/>
          <w:sz w:val="22"/>
        </w:rPr>
        <w:t xml:space="preserve">All insider sales are 10b5-1 planned sales — pre-scheduled and not discretionary. The CEO's consistent 5,000 share/month sales are routine. The notable signal is the </w:t>
      </w:r>
      <w:r>
        <w:rPr>
          <w:rFonts w:ascii="Calibri" w:hAnsi="Calibri"/>
          <w:b/>
          <w:color w:val="525866"/>
          <w:sz w:val="22"/>
        </w:rPr>
        <w:t>absence of any open-market buying despite the stock's -22.7% decline since Q1 earnings</w:t>
      </w:r>
      <w:r>
        <w:rPr>
          <w:rFonts w:ascii="Calibri" w:hAnsi="Calibri"/>
          <w:color w:val="525866"/>
          <w:sz w:val="22"/>
        </w:rPr>
        <w:t xml:space="preserve"> — insiders are not stepping in to buy the dip, which is a mild negative signal but not alarming given the 10b5-1 plan context.</w:t>
      </w:r>
    </w:p>
    <w:p>
      <w:r>
        <w:rPr>
          <w:rFonts w:ascii="Calibri" w:hAnsi="Calibri"/>
          <w:i/>
          <w:color w:val="525866"/>
          <w:sz w:val="22"/>
        </w:rPr>
        <w:t xml:space="preserve">Source: </w:t>
      </w:r>
      <w:r>
        <w:rPr>
          <w:rFonts w:ascii="Calibri" w:hAnsi="Calibri"/>
          <w:i/>
          <w:color w:val="525866"/>
          <w:sz w:val="22"/>
        </w:rPr>
        <w:t>SEC Form 4 filings via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