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Generac Holdings Inc. (GNRC)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Generac Holdings Inc.</w:t>
            </w:r>
          </w:p>
        </w:tc>
      </w:tr>
      <w:tr>
        <w:tc>
          <w:tcPr>
            <w:tcW w:type="dxa" w:w="4320"/>
          </w:tcPr>
          <w:p>
            <w:r>
              <w:rPr>
                <w:rFonts w:ascii="Calibri" w:hAnsi="Calibri"/>
                <w:b/>
                <w:sz w:val="22"/>
              </w:rPr>
              <w:t>Ticker</w:t>
            </w:r>
          </w:p>
        </w:tc>
        <w:tc>
          <w:tcPr>
            <w:tcW w:type="dxa" w:w="4320"/>
          </w:tcPr>
          <w:p>
            <w:r>
              <w:rPr>
                <w:rFonts w:ascii="Calibri" w:hAnsi="Calibri"/>
                <w:sz w:val="22"/>
              </w:rPr>
              <w:t>NYSE: GNRC</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29, 2026 (before market open)</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Sector ETF Benchmark</w:t>
            </w:r>
          </w:p>
        </w:tc>
        <w:tc>
          <w:tcPr>
            <w:tcW w:type="dxa" w:w="4320"/>
          </w:tcPr>
          <w:p>
            <w:r>
              <w:rPr>
                <w:rFonts w:ascii="Calibri" w:hAnsi="Calibri"/>
                <w:sz w:val="22"/>
              </w:rPr>
              <w:t>XLI (Industrial Select Sector SPDR)</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bar is achievable — consensus calls for ~9–10% revenue growth driven entirely by C&amp;I — but the real question is whether management can confirm hyperscale vendor approvals and provide a credible path to the $600M+ 2027 notice-to-proceed, which would be the single biggest re-rating catalyst.</w:t>
      </w:r>
    </w:p>
    <w:p>
      <w:r>
        <w:rPr>
          <w:rFonts w:ascii="Calibri" w:hAnsi="Calibri"/>
          <w:color w:val="525866"/>
          <w:sz w:val="22"/>
        </w:rPr>
        <w:t>Heading into Q2 2026, GNRC's setup is constructive but asymmetric: the C&amp;I data center engine is firing on all cylinders, with a $700M+ backlog (up ~$300M since the Q4 update) and a $600M non-binding notice to proceed from a hyperscale customer that management described as "99 yards of the way done" at the Q1 call. Consensus expects net sales of ~$1.18B (up ~9–10% YoY, driven entirely by C&amp;I), with adjusted EBITDA margin in the ~18.4% range — both consistent with management's own Q2 guidance of 9–10% growth and margins "in the 18% range." Estimate revisions have been modestly positive since the Q1 beat, with EPS moving from $1.33 to $1.67 post-print, suggesting the Street has largely repriced the C&amp;I opportunity but has not yet fully credited the hyperscale upside. The stock surged ~37% from the Q1 print to its late-June peak before giving back ~33% through July 28, leaving it roughly flat since earnings — a reset that appears driven by multiple compression rather than estimate cuts, creating a potentially attractive entry if Q2 confirms the data center trajectory. The key wildcard is the formal hyperscale vendor approval announcement: if GNRC confirms binding agreements with one or both hyperscale customers on the Q2 call, the stock could re-rate sharply higher; any delay or ambiguity would likely extend the recent de-rating.</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sets a manageable bar — ~$1.18B in revenue and ~18.4% adjusted EBITDA margin — both squarely in line with management's own Q2 guidance. The bigger swing factor is C&amp;I segment revenue, where data center momentum and the Enercon acquisition could drive upside, while residential remains a secondary watch item given the outage-environment dependency.</w:t>
      </w:r>
    </w:p>
    <w:p>
      <w:pPr>
        <w:pStyle w:val="Heading2"/>
      </w:pPr>
      <w:r>
        <w:rPr>
          <w:rFonts w:ascii="Calibri" w:hAnsi="Calibri"/>
          <w:b/>
          <w:color w:val="3B4259"/>
          <w:sz w:val="28"/>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 Period)</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Management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($M)</w:t>
            </w:r>
          </w:p>
        </w:tc>
        <w:tc>
          <w:tcPr>
            <w:tcW w:type="dxa" w:w="1234"/>
          </w:tcPr>
          <w:p>
            <w:r>
              <w:rPr>
                <w:rFonts w:ascii="Calibri" w:hAnsi="Calibri"/>
                <w:sz w:val="22"/>
              </w:rPr>
              <w:t>$1,059</w:t>
            </w:r>
          </w:p>
        </w:tc>
        <w:tc>
          <w:tcPr>
            <w:tcW w:type="dxa" w:w="1234"/>
          </w:tcPr>
          <w:p>
            <w:r>
              <w:rPr>
                <w:rFonts w:ascii="Calibri" w:hAnsi="Calibri"/>
                <w:sz w:val="22"/>
              </w:rPr>
              <w:t>$1,061</w:t>
            </w:r>
          </w:p>
        </w:tc>
        <w:tc>
          <w:tcPr>
            <w:tcW w:type="dxa" w:w="1234"/>
          </w:tcPr>
          <w:p>
            <w:r>
              <w:rPr>
                <w:rFonts w:ascii="Calibri" w:hAnsi="Calibri"/>
                <w:sz w:val="22"/>
              </w:rPr>
              <w:t>$1,180</w:t>
            </w:r>
          </w:p>
        </w:tc>
        <w:tc>
          <w:tcPr>
            <w:tcW w:type="dxa" w:w="1234"/>
          </w:tcPr>
          <w:p>
            <w:r>
              <w:rPr>
                <w:rFonts w:ascii="Calibri" w:hAnsi="Calibri"/>
                <w:sz w:val="22"/>
              </w:rPr>
              <w:t>+11.2%</w:t>
            </w:r>
          </w:p>
        </w:tc>
        <w:tc>
          <w:tcPr>
            <w:tcW w:type="dxa" w:w="1234"/>
          </w:tcPr>
          <w:p>
            <w:r>
              <w:rPr>
                <w:rFonts w:ascii="Calibri" w:hAnsi="Calibri"/>
                <w:sz w:val="22"/>
              </w:rPr>
              <w:t>+9–10% YoY (Q2 guide)</w:t>
            </w:r>
          </w:p>
        </w:tc>
        <w:tc>
          <w:tcPr>
            <w:tcW w:type="dxa" w:w="1234"/>
          </w:tcPr>
          <w:p>
            <w:r>
              <w:rPr>
                <w:rFonts w:ascii="Calibri" w:hAnsi="Calibri"/>
                <w:sz w:val="22"/>
              </w:rPr>
              <w:t>~+0.2% above midpoint</w:t>
            </w:r>
          </w:p>
        </w:tc>
      </w:tr>
      <w:tr>
        <w:tc>
          <w:tcPr>
            <w:tcW w:type="dxa" w:w="1234"/>
          </w:tcPr>
          <w:p>
            <w:r>
              <w:rPr>
                <w:rFonts w:ascii="Calibri" w:hAnsi="Calibri"/>
                <w:sz w:val="22"/>
              </w:rPr>
              <w:t>C&amp;I Segment Revenue ($M)</w:t>
            </w:r>
          </w:p>
        </w:tc>
        <w:tc>
          <w:tcPr>
            <w:tcW w:type="dxa" w:w="1234"/>
          </w:tcPr>
          <w:p>
            <w:r>
              <w:rPr>
                <w:rFonts w:ascii="Calibri" w:hAnsi="Calibri"/>
                <w:sz w:val="22"/>
              </w:rPr>
              <w:t>$510</w:t>
            </w:r>
          </w:p>
        </w:tc>
        <w:tc>
          <w:tcPr>
            <w:tcW w:type="dxa" w:w="1234"/>
          </w:tcPr>
          <w:p>
            <w:r>
              <w:rPr>
                <w:rFonts w:ascii="Calibri" w:hAnsi="Calibri"/>
                <w:sz w:val="22"/>
              </w:rPr>
              <w:t>$431</w:t>
            </w:r>
          </w:p>
        </w:tc>
        <w:tc>
          <w:tcPr>
            <w:tcW w:type="dxa" w:w="1234"/>
          </w:tcPr>
          <w:p>
            <w:r>
              <w:rPr>
                <w:rFonts w:ascii="Calibri" w:hAnsi="Calibri"/>
                <w:sz w:val="22"/>
              </w:rPr>
              <w:t>$535</w:t>
            </w:r>
          </w:p>
        </w:tc>
        <w:tc>
          <w:tcPr>
            <w:tcW w:type="dxa" w:w="1234"/>
          </w:tcPr>
          <w:p>
            <w:r>
              <w:rPr>
                <w:rFonts w:ascii="Calibri" w:hAnsi="Calibri"/>
                <w:sz w:val="22"/>
              </w:rPr>
              <w:t>+24.2%</w:t>
            </w:r>
          </w:p>
        </w:tc>
        <w:tc>
          <w:tcPr>
            <w:tcW w:type="dxa" w:w="1234"/>
          </w:tcPr>
          <w:p>
            <w:r>
              <w:rPr>
                <w:rFonts w:ascii="Calibri" w:hAnsi="Calibri"/>
                <w:sz w:val="22"/>
              </w:rPr>
              <w:t>Mid-to-high 20% FY growth; Q2 driven entirely by C&amp;I</w:t>
            </w:r>
          </w:p>
        </w:tc>
        <w:tc>
          <w:tcPr>
            <w:tcW w:type="dxa" w:w="1234"/>
          </w:tcPr>
          <w:p>
            <w:r>
              <w:rPr>
                <w:rFonts w:ascii="Calibri" w:hAnsi="Calibri"/>
                <w:sz w:val="22"/>
              </w:rPr>
              <w:t>In line with FY trajectory</w:t>
            </w:r>
          </w:p>
        </w:tc>
      </w:tr>
      <w:tr>
        <w:tc>
          <w:tcPr>
            <w:tcW w:type="dxa" w:w="1234"/>
          </w:tcPr>
          <w:p>
            <w:r>
              <w:rPr>
                <w:rFonts w:ascii="Calibri" w:hAnsi="Calibri"/>
                <w:sz w:val="22"/>
              </w:rPr>
              <w:t>Residential Segment Revenue ($M)</w:t>
            </w:r>
          </w:p>
        </w:tc>
        <w:tc>
          <w:tcPr>
            <w:tcW w:type="dxa" w:w="1234"/>
          </w:tcPr>
          <w:p>
            <w:r>
              <w:rPr>
                <w:rFonts w:ascii="Calibri" w:hAnsi="Calibri"/>
                <w:sz w:val="22"/>
              </w:rPr>
              <w:t>$552</w:t>
            </w:r>
          </w:p>
        </w:tc>
        <w:tc>
          <w:tcPr>
            <w:tcW w:type="dxa" w:w="1234"/>
          </w:tcPr>
          <w:p>
            <w:r>
              <w:rPr>
                <w:rFonts w:ascii="Calibri" w:hAnsi="Calibri"/>
                <w:sz w:val="22"/>
              </w:rPr>
              <w:t>$635</w:t>
            </w:r>
          </w:p>
        </w:tc>
        <w:tc>
          <w:tcPr>
            <w:tcW w:type="dxa" w:w="1234"/>
          </w:tcPr>
          <w:p>
            <w:r>
              <w:rPr>
                <w:rFonts w:ascii="Calibri" w:hAnsi="Calibri"/>
                <w:sz w:val="22"/>
              </w:rPr>
              <w:t>$648</w:t>
            </w:r>
          </w:p>
        </w:tc>
        <w:tc>
          <w:tcPr>
            <w:tcW w:type="dxa" w:w="1234"/>
          </w:tcPr>
          <w:p>
            <w:r>
              <w:rPr>
                <w:rFonts w:ascii="Calibri" w:hAnsi="Calibri"/>
                <w:sz w:val="22"/>
              </w:rPr>
              <w:t>+2.1%</w:t>
            </w:r>
          </w:p>
        </w:tc>
        <w:tc>
          <w:tcPr>
            <w:tcW w:type="dxa" w:w="1234"/>
          </w:tcPr>
          <w:p>
            <w:r>
              <w:rPr>
                <w:rFonts w:ascii="Calibri" w:hAnsi="Calibri"/>
                <w:sz w:val="22"/>
              </w:rPr>
              <w:t>+10% FY growth</w:t>
            </w:r>
          </w:p>
        </w:tc>
        <w:tc>
          <w:tcPr>
            <w:tcW w:type="dxa" w:w="1234"/>
          </w:tcPr>
          <w:p>
            <w:r>
              <w:rPr>
                <w:rFonts w:ascii="Calibri" w:hAnsi="Calibri"/>
                <w:sz w:val="22"/>
              </w:rPr>
              <w:t>In line</w:t>
            </w:r>
          </w:p>
        </w:tc>
      </w:tr>
      <w:tr>
        <w:tc>
          <w:tcPr>
            <w:tcW w:type="dxa" w:w="1234"/>
          </w:tcPr>
          <w:p>
            <w:r>
              <w:rPr>
                <w:rFonts w:ascii="Calibri" w:hAnsi="Calibri"/>
                <w:sz w:val="22"/>
              </w:rPr>
              <w:t>Adjusted EBITDA ($M)</w:t>
            </w:r>
          </w:p>
        </w:tc>
        <w:tc>
          <w:tcPr>
            <w:tcW w:type="dxa" w:w="1234"/>
          </w:tcPr>
          <w:p>
            <w:r>
              <w:rPr>
                <w:rFonts w:ascii="Calibri" w:hAnsi="Calibri"/>
                <w:sz w:val="22"/>
              </w:rPr>
              <w:t>$193</w:t>
            </w:r>
          </w:p>
        </w:tc>
        <w:tc>
          <w:tcPr>
            <w:tcW w:type="dxa" w:w="1234"/>
          </w:tcPr>
          <w:p>
            <w:r>
              <w:rPr>
                <w:rFonts w:ascii="Calibri" w:hAnsi="Calibri"/>
                <w:sz w:val="22"/>
              </w:rPr>
              <w:t>$188</w:t>
            </w:r>
          </w:p>
        </w:tc>
        <w:tc>
          <w:tcPr>
            <w:tcW w:type="dxa" w:w="1234"/>
          </w:tcPr>
          <w:p>
            <w:r>
              <w:rPr>
                <w:rFonts w:ascii="Calibri" w:hAnsi="Calibri"/>
                <w:sz w:val="22"/>
              </w:rPr>
              <w:t>$217</w:t>
            </w:r>
          </w:p>
        </w:tc>
        <w:tc>
          <w:tcPr>
            <w:tcW w:type="dxa" w:w="1234"/>
          </w:tcPr>
          <w:p>
            <w:r>
              <w:rPr>
                <w:rFonts w:ascii="Calibri" w:hAnsi="Calibri"/>
                <w:sz w:val="22"/>
              </w:rPr>
              <w:t>+15.5%</w:t>
            </w:r>
          </w:p>
        </w:tc>
        <w:tc>
          <w:tcPr>
            <w:tcW w:type="dxa" w:w="1234"/>
          </w:tcPr>
          <w:p>
            <w:r>
              <w:rPr>
                <w:rFonts w:ascii="Calibri" w:hAnsi="Calibri"/>
                <w:sz w:val="22"/>
              </w:rPr>
              <w:t>~18% margin in Q2</w:t>
            </w:r>
          </w:p>
        </w:tc>
        <w:tc>
          <w:tcPr>
            <w:tcW w:type="dxa" w:w="1234"/>
          </w:tcPr>
          <w:p>
            <w:r>
              <w:rPr>
                <w:rFonts w:ascii="Calibri" w:hAnsi="Calibri"/>
                <w:sz w:val="22"/>
              </w:rPr>
              <w:t>~+0.4% above midpoint</w:t>
            </w:r>
          </w:p>
        </w:tc>
      </w:tr>
      <w:tr>
        <w:tc>
          <w:tcPr>
            <w:tcW w:type="dxa" w:w="1234"/>
          </w:tcPr>
          <w:p>
            <w:r>
              <w:rPr>
                <w:rFonts w:ascii="Calibri" w:hAnsi="Calibri"/>
                <w:sz w:val="22"/>
              </w:rPr>
              <w:t>Adjusted EBITDA Margin (%)</w:t>
            </w:r>
          </w:p>
        </w:tc>
        <w:tc>
          <w:tcPr>
            <w:tcW w:type="dxa" w:w="1234"/>
          </w:tcPr>
          <w:p>
            <w:r>
              <w:rPr>
                <w:rFonts w:ascii="Calibri" w:hAnsi="Calibri"/>
                <w:sz w:val="22"/>
              </w:rPr>
              <w:t>18.3%</w:t>
            </w:r>
          </w:p>
        </w:tc>
        <w:tc>
          <w:tcPr>
            <w:tcW w:type="dxa" w:w="1234"/>
          </w:tcPr>
          <w:p>
            <w:r>
              <w:rPr>
                <w:rFonts w:ascii="Calibri" w:hAnsi="Calibri"/>
                <w:sz w:val="22"/>
              </w:rPr>
              <w:t>17.7%</w:t>
            </w:r>
          </w:p>
        </w:tc>
        <w:tc>
          <w:tcPr>
            <w:tcW w:type="dxa" w:w="1234"/>
          </w:tcPr>
          <w:p>
            <w:r>
              <w:rPr>
                <w:rFonts w:ascii="Calibri" w:hAnsi="Calibri"/>
                <w:sz w:val="22"/>
              </w:rPr>
              <w:t>18.4%</w:t>
            </w:r>
          </w:p>
        </w:tc>
        <w:tc>
          <w:tcPr>
            <w:tcW w:type="dxa" w:w="1234"/>
          </w:tcPr>
          <w:p>
            <w:r>
              <w:rPr>
                <w:rFonts w:ascii="Calibri" w:hAnsi="Calibri"/>
                <w:sz w:val="22"/>
              </w:rPr>
              <w:t>+70 bps YoY</w:t>
            </w:r>
          </w:p>
        </w:tc>
        <w:tc>
          <w:tcPr>
            <w:tcW w:type="dxa" w:w="1234"/>
          </w:tcPr>
          <w:p>
            <w:r>
              <w:rPr>
                <w:rFonts w:ascii="Calibri" w:hAnsi="Calibri"/>
                <w:sz w:val="22"/>
              </w:rPr>
              <w:t>~18% range</w:t>
            </w:r>
          </w:p>
        </w:tc>
        <w:tc>
          <w:tcPr>
            <w:tcW w:type="dxa" w:w="1234"/>
          </w:tcPr>
          <w:p>
            <w:r>
              <w:rPr>
                <w:rFonts w:ascii="Calibri" w:hAnsi="Calibri"/>
                <w:sz w:val="22"/>
              </w:rPr>
              <w:t>~+40 bps above guide</w:t>
            </w:r>
          </w:p>
        </w:tc>
      </w:tr>
      <w:tr>
        <w:tc>
          <w:tcPr>
            <w:tcW w:type="dxa" w:w="1234"/>
          </w:tcPr>
          <w:p>
            <w:r>
              <w:rPr>
                <w:rFonts w:ascii="Calibri" w:hAnsi="Calibri"/>
                <w:sz w:val="22"/>
              </w:rPr>
              <w:t>Diluted EPS — Operating ($)</w:t>
            </w:r>
          </w:p>
        </w:tc>
        <w:tc>
          <w:tcPr>
            <w:tcW w:type="dxa" w:w="1234"/>
          </w:tcPr>
          <w:p>
            <w:r>
              <w:rPr>
                <w:rFonts w:ascii="Calibri" w:hAnsi="Calibri"/>
                <w:sz w:val="22"/>
              </w:rPr>
              <w:t>$1.80</w:t>
            </w:r>
          </w:p>
        </w:tc>
        <w:tc>
          <w:tcPr>
            <w:tcW w:type="dxa" w:w="1234"/>
          </w:tcPr>
          <w:p>
            <w:r>
              <w:rPr>
                <w:rFonts w:ascii="Calibri" w:hAnsi="Calibri"/>
                <w:sz w:val="22"/>
              </w:rPr>
              <w:t>$1.65</w:t>
            </w:r>
          </w:p>
        </w:tc>
        <w:tc>
          <w:tcPr>
            <w:tcW w:type="dxa" w:w="1234"/>
          </w:tcPr>
          <w:p>
            <w:r>
              <w:rPr>
                <w:rFonts w:ascii="Calibri" w:hAnsi="Calibri"/>
                <w:sz w:val="22"/>
              </w:rPr>
              <w:t>$2.01</w:t>
            </w:r>
          </w:p>
        </w:tc>
        <w:tc>
          <w:tcPr>
            <w:tcW w:type="dxa" w:w="1234"/>
          </w:tcPr>
          <w:p>
            <w:r>
              <w:rPr>
                <w:rFonts w:ascii="Calibri" w:hAnsi="Calibri"/>
                <w:sz w:val="22"/>
              </w:rPr>
              <w:t>+21.8%</w:t>
            </w:r>
          </w:p>
        </w:tc>
        <w:tc>
          <w:tcPr>
            <w:tcW w:type="dxa" w:w="1234"/>
          </w:tcPr>
          <w:p>
            <w:r>
              <w:rPr>
                <w:rFonts w:ascii="Calibri" w:hAnsi="Calibri"/>
                <w:sz w:val="22"/>
              </w:rPr>
              <w:t>No explicit Q2 EPS guide</w:t>
            </w:r>
          </w:p>
        </w:tc>
        <w:tc>
          <w:tcPr>
            <w:tcW w:type="dxa" w:w="1234"/>
          </w:tcPr>
          <w:p>
            <w:r>
              <w:rPr>
                <w:rFonts w:ascii="Calibri" w:hAnsi="Calibri"/>
                <w:sz w:val="22"/>
              </w:rPr>
              <w:t>N/A</w:t>
            </w:r>
          </w:p>
        </w:tc>
      </w:tr>
    </w:tbl>
    <w:p>
      <w:r>
        <w:rPr>
          <w:rFonts w:ascii="Calibri" w:hAnsi="Calibri"/>
          <w:color w:val="525866"/>
          <w:sz w:val="22"/>
        </w:rPr>
        <w:t>Source: Visible Alpha Consensus and Actuals Data. All consensus figures as of July 28, 2026. Q2 2026 guidance per Q1 2026 earnings call (April 29, 2026).</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Net Sales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Q3 2024</w:t>
            </w:r>
          </w:p>
        </w:tc>
        <w:tc>
          <w:tcPr>
            <w:tcW w:type="dxa" w:w="1728"/>
          </w:tcPr>
          <w:p>
            <w:r>
              <w:rPr>
                <w:rFonts w:ascii="Calibri" w:hAnsi="Calibri"/>
                <w:sz w:val="22"/>
              </w:rPr>
              <w:t>$1,174</w:t>
            </w:r>
          </w:p>
        </w:tc>
        <w:tc>
          <w:tcPr>
            <w:tcW w:type="dxa" w:w="1728"/>
          </w:tcPr>
          <w:p>
            <w:r>
              <w:rPr>
                <w:rFonts w:ascii="Calibri" w:hAnsi="Calibri"/>
                <w:sz w:val="22"/>
              </w:rPr>
              <w:t>$1,163</w:t>
            </w:r>
          </w:p>
        </w:tc>
        <w:tc>
          <w:tcPr>
            <w:tcW w:type="dxa" w:w="1728"/>
          </w:tcPr>
          <w:p>
            <w:r>
              <w:rPr>
                <w:rFonts w:ascii="Calibri" w:hAnsi="Calibri"/>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$1,235</w:t>
            </w:r>
          </w:p>
        </w:tc>
        <w:tc>
          <w:tcPr>
            <w:tcW w:type="dxa" w:w="1728"/>
          </w:tcPr>
          <w:p>
            <w:r>
              <w:rPr>
                <w:rFonts w:ascii="Calibri" w:hAnsi="Calibri"/>
                <w:sz w:val="22"/>
              </w:rPr>
              <w:t>$1,243</w:t>
            </w:r>
          </w:p>
        </w:tc>
        <w:tc>
          <w:tcPr>
            <w:tcW w:type="dxa" w:w="1728"/>
          </w:tcPr>
          <w:p>
            <w:r>
              <w:rPr>
                <w:rFonts w:ascii="Calibri" w:hAnsi="Calibri"/>
                <w:sz w:val="22"/>
              </w:rPr>
              <w:t>−0.7%</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$942</w:t>
            </w:r>
          </w:p>
        </w:tc>
        <w:tc>
          <w:tcPr>
            <w:tcW w:type="dxa" w:w="1728"/>
          </w:tcPr>
          <w:p>
            <w:r>
              <w:rPr>
                <w:rFonts w:ascii="Calibri" w:hAnsi="Calibri"/>
                <w:sz w:val="22"/>
              </w:rPr>
              <w:t>$919</w:t>
            </w:r>
          </w:p>
        </w:tc>
        <w:tc>
          <w:tcPr>
            <w:tcW w:type="dxa" w:w="1728"/>
          </w:tcPr>
          <w:p>
            <w:r>
              <w:rPr>
                <w:rFonts w:ascii="Calibri" w:hAnsi="Calibri"/>
                <w:sz w:val="22"/>
              </w:rPr>
              <w:t>+2.5%</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$1,061</w:t>
            </w:r>
          </w:p>
        </w:tc>
        <w:tc>
          <w:tcPr>
            <w:tcW w:type="dxa" w:w="1728"/>
          </w:tcPr>
          <w:p>
            <w:r>
              <w:rPr>
                <w:rFonts w:ascii="Calibri" w:hAnsi="Calibri"/>
                <w:sz w:val="22"/>
              </w:rPr>
              <w:t>$1,027</w:t>
            </w:r>
          </w:p>
        </w:tc>
        <w:tc>
          <w:tcPr>
            <w:tcW w:type="dxa" w:w="1728"/>
          </w:tcPr>
          <w:p>
            <w:r>
              <w:rPr>
                <w:rFonts w:ascii="Calibri" w:hAnsi="Calibri"/>
                <w:sz w:val="22"/>
              </w:rPr>
              <w:t>+3.3%</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$1,114</w:t>
            </w:r>
          </w:p>
        </w:tc>
        <w:tc>
          <w:tcPr>
            <w:tcW w:type="dxa" w:w="1728"/>
          </w:tcPr>
          <w:p>
            <w:r>
              <w:rPr>
                <w:rFonts w:ascii="Calibri" w:hAnsi="Calibri"/>
                <w:sz w:val="22"/>
              </w:rPr>
              <w:t>$1,193</w:t>
            </w:r>
          </w:p>
        </w:tc>
        <w:tc>
          <w:tcPr>
            <w:tcW w:type="dxa" w:w="1728"/>
          </w:tcPr>
          <w:p>
            <w:r>
              <w:rPr>
                <w:rFonts w:ascii="Calibri" w:hAnsi="Calibri"/>
                <w:sz w:val="22"/>
              </w:rPr>
              <w:t>−6.6%</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$1,092</w:t>
            </w:r>
          </w:p>
        </w:tc>
        <w:tc>
          <w:tcPr>
            <w:tcW w:type="dxa" w:w="1728"/>
          </w:tcPr>
          <w:p>
            <w:r>
              <w:rPr>
                <w:rFonts w:ascii="Calibri" w:hAnsi="Calibri"/>
                <w:sz w:val="22"/>
              </w:rPr>
              <w:t>$1,160</w:t>
            </w:r>
          </w:p>
        </w:tc>
        <w:tc>
          <w:tcPr>
            <w:tcW w:type="dxa" w:w="1728"/>
          </w:tcPr>
          <w:p>
            <w:r>
              <w:rPr>
                <w:rFonts w:ascii="Calibri" w:hAnsi="Calibri"/>
                <w:sz w:val="22"/>
              </w:rPr>
              <w:t>−5.9%</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$1,059</w:t>
            </w:r>
          </w:p>
        </w:tc>
        <w:tc>
          <w:tcPr>
            <w:tcW w:type="dxa" w:w="1728"/>
          </w:tcPr>
          <w:p>
            <w:r>
              <w:rPr>
                <w:rFonts w:ascii="Calibri" w:hAnsi="Calibri"/>
                <w:sz w:val="22"/>
              </w:rPr>
              <w:t>$1,048</w:t>
            </w:r>
          </w:p>
        </w:tc>
        <w:tc>
          <w:tcPr>
            <w:tcW w:type="dxa" w:w="1728"/>
          </w:tcPr>
          <w:p>
            <w:r>
              <w:rPr>
                <w:rFonts w:ascii="Calibri" w:hAnsi="Calibri"/>
                <w:sz w:val="22"/>
              </w:rPr>
              <w:t>+1.1%</w:t>
            </w:r>
          </w:p>
        </w:tc>
        <w:tc>
          <w:tcPr>
            <w:tcW w:type="dxa" w:w="1728"/>
          </w:tcPr>
          <w:p>
            <w:r>
              <w:rPr>
                <w:rFonts w:ascii="Calibri" w:hAnsi="Calibri"/>
                <w:b/>
                <w:color w:val="30A46C"/>
                <w:sz w:val="22"/>
              </w:rPr>
              <w:t>Beat</w:t>
            </w:r>
          </w:p>
        </w:tc>
      </w:tr>
    </w:tbl>
    <w:p>
      <w:pPr>
        <w:pStyle w:val="Heading3"/>
      </w:pPr>
      <w:r>
        <w:rPr>
          <w:rFonts w:ascii="Calibri" w:hAnsi="Calibri"/>
          <w:b/>
          <w:color w:val="3B4259"/>
          <w:sz w:val="24"/>
        </w:rPr>
        <w:t>Adjusted EBITDA Margin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Q3 2024</w:t>
            </w:r>
          </w:p>
        </w:tc>
        <w:tc>
          <w:tcPr>
            <w:tcW w:type="dxa" w:w="1728"/>
          </w:tcPr>
          <w:p>
            <w:r>
              <w:rPr>
                <w:rFonts w:ascii="Calibri" w:hAnsi="Calibri"/>
                <w:sz w:val="22"/>
              </w:rPr>
              <w:t>19.8%</w:t>
            </w:r>
          </w:p>
        </w:tc>
        <w:tc>
          <w:tcPr>
            <w:tcW w:type="dxa" w:w="1728"/>
          </w:tcPr>
          <w:p>
            <w:r>
              <w:rPr>
                <w:rFonts w:ascii="Calibri" w:hAnsi="Calibri"/>
                <w:sz w:val="22"/>
              </w:rPr>
              <w:t>18.4%</w:t>
            </w:r>
          </w:p>
        </w:tc>
        <w:tc>
          <w:tcPr>
            <w:tcW w:type="dxa" w:w="1728"/>
          </w:tcPr>
          <w:p>
            <w:r>
              <w:rPr>
                <w:rFonts w:ascii="Calibri" w:hAnsi="Calibri"/>
                <w:sz w:val="22"/>
              </w:rPr>
              <w:t>+140 bps</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21.5%</w:t>
            </w:r>
          </w:p>
        </w:tc>
        <w:tc>
          <w:tcPr>
            <w:tcW w:type="dxa" w:w="1728"/>
          </w:tcPr>
          <w:p>
            <w:r>
              <w:rPr>
                <w:rFonts w:ascii="Calibri" w:hAnsi="Calibri"/>
                <w:sz w:val="22"/>
              </w:rPr>
              <w:t>20.6%</w:t>
            </w:r>
          </w:p>
        </w:tc>
        <w:tc>
          <w:tcPr>
            <w:tcW w:type="dxa" w:w="1728"/>
          </w:tcPr>
          <w:p>
            <w:r>
              <w:rPr>
                <w:rFonts w:ascii="Calibri" w:hAnsi="Calibri"/>
                <w:sz w:val="22"/>
              </w:rPr>
              <w:t>+90 bps</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15.9%</w:t>
            </w:r>
          </w:p>
        </w:tc>
        <w:tc>
          <w:tcPr>
            <w:tcW w:type="dxa" w:w="1728"/>
          </w:tcPr>
          <w:p>
            <w:r>
              <w:rPr>
                <w:rFonts w:ascii="Calibri" w:hAnsi="Calibri"/>
                <w:sz w:val="22"/>
              </w:rPr>
              <w:t>14.2%</w:t>
            </w:r>
          </w:p>
        </w:tc>
        <w:tc>
          <w:tcPr>
            <w:tcW w:type="dxa" w:w="1728"/>
          </w:tcPr>
          <w:p>
            <w:r>
              <w:rPr>
                <w:rFonts w:ascii="Calibri" w:hAnsi="Calibri"/>
                <w:sz w:val="22"/>
              </w:rPr>
              <w:t>+170 bps</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17.7%</w:t>
            </w:r>
          </w:p>
        </w:tc>
        <w:tc>
          <w:tcPr>
            <w:tcW w:type="dxa" w:w="1728"/>
          </w:tcPr>
          <w:p>
            <w:r>
              <w:rPr>
                <w:rFonts w:ascii="Calibri" w:hAnsi="Calibri"/>
                <w:sz w:val="22"/>
              </w:rPr>
              <w:t>15.5%</w:t>
            </w:r>
          </w:p>
        </w:tc>
        <w:tc>
          <w:tcPr>
            <w:tcW w:type="dxa" w:w="1728"/>
          </w:tcPr>
          <w:p>
            <w:r>
              <w:rPr>
                <w:rFonts w:ascii="Calibri" w:hAnsi="Calibri"/>
                <w:sz w:val="22"/>
              </w:rPr>
              <w:t>+220 bps</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17.3%</w:t>
            </w:r>
          </w:p>
        </w:tc>
        <w:tc>
          <w:tcPr>
            <w:tcW w:type="dxa" w:w="1728"/>
          </w:tcPr>
          <w:p>
            <w:r>
              <w:rPr>
                <w:rFonts w:ascii="Calibri" w:hAnsi="Calibri"/>
                <w:sz w:val="22"/>
              </w:rPr>
              <w:t>19.5%</w:t>
            </w:r>
          </w:p>
        </w:tc>
        <w:tc>
          <w:tcPr>
            <w:tcW w:type="dxa" w:w="1728"/>
          </w:tcPr>
          <w:p>
            <w:r>
              <w:rPr>
                <w:rFonts w:ascii="Calibri" w:hAnsi="Calibri"/>
                <w:sz w:val="22"/>
              </w:rPr>
              <w:t>−220 bps</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17.0%</w:t>
            </w:r>
          </w:p>
        </w:tc>
        <w:tc>
          <w:tcPr>
            <w:tcW w:type="dxa" w:w="1728"/>
          </w:tcPr>
          <w:p>
            <w:r>
              <w:rPr>
                <w:rFonts w:ascii="Calibri" w:hAnsi="Calibri"/>
                <w:sz w:val="22"/>
              </w:rPr>
              <w:t>17.2%</w:t>
            </w:r>
          </w:p>
        </w:tc>
        <w:tc>
          <w:tcPr>
            <w:tcW w:type="dxa" w:w="1728"/>
          </w:tcPr>
          <w:p>
            <w:r>
              <w:rPr>
                <w:rFonts w:ascii="Calibri" w:hAnsi="Calibri"/>
                <w:sz w:val="22"/>
              </w:rPr>
              <w:t>−20 bps</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18.3%</w:t>
            </w:r>
          </w:p>
        </w:tc>
        <w:tc>
          <w:tcPr>
            <w:tcW w:type="dxa" w:w="1728"/>
          </w:tcPr>
          <w:p>
            <w:r>
              <w:rPr>
                <w:rFonts w:ascii="Calibri" w:hAnsi="Calibri"/>
                <w:sz w:val="22"/>
              </w:rPr>
              <w:t>15.1%</w:t>
            </w:r>
          </w:p>
        </w:tc>
        <w:tc>
          <w:tcPr>
            <w:tcW w:type="dxa" w:w="1728"/>
          </w:tcPr>
          <w:p>
            <w:r>
              <w:rPr>
                <w:rFonts w:ascii="Calibri" w:hAnsi="Calibri"/>
                <w:sz w:val="22"/>
              </w:rPr>
              <w:t>+320 bps</w:t>
            </w:r>
          </w:p>
        </w:tc>
        <w:tc>
          <w:tcPr>
            <w:tcW w:type="dxa" w:w="1728"/>
          </w:tcPr>
          <w:p>
            <w:r>
              <w:rPr>
                <w:rFonts w:ascii="Calibri" w:hAnsi="Calibri"/>
                <w:b/>
                <w:color w:val="30A46C"/>
                <w:sz w:val="22"/>
              </w:rPr>
              <w:t>Beat</w:t>
            </w:r>
          </w:p>
        </w:tc>
      </w:tr>
    </w:tbl>
    <w:p>
      <w:r>
        <w:rPr>
          <w:rFonts w:ascii="Calibri" w:hAnsi="Calibri"/>
          <w:b/>
          <w:color w:val="525866"/>
          <w:sz w:val="22"/>
        </w:rPr>
        <w:t xml:space="preserve">Source: Visible Alpha Consensus and Actuals Data. </w:t>
      </w:r>
      <w:r>
        <w:rPr>
          <w:rFonts w:ascii="Calibri" w:hAnsi="Calibri"/>
          <w:color w:val="525866"/>
          <w:sz w:val="22"/>
        </w:rPr>
        <w:t>Pattern: GNRC has beaten on adjusted EBITDA margin in 5 of the last 7 reported quarters, with the two misses concentrated in Q3–Q4 2025 when outage activity collapsed. The Q1 2026 margin beat of +320 bps was the largest in the trailing window, driven by Generac Home reorganization savings and favorable price/cost. Revenue beats have been more mixed, with two consecutive misses in H2 2025 before returning to a beat in Q1 2026.</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Management raised full-year 2026 guidance across all key metrics at the Q1 print (April 29) and has not issued any subsequent formal revision. Tone has shifted decisively toward confidence on the data center opportunity, with the Sussex facility ramp being pulled forward from Q4 to Q3 and management explicitly targeting $2–$3B in future capacity.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Net Sales Growth</w:t>
            </w:r>
          </w:p>
        </w:tc>
        <w:tc>
          <w:tcPr>
            <w:tcW w:type="dxa" w:w="1728"/>
          </w:tcPr>
          <w:p>
            <w:r>
              <w:rPr>
                <w:rFonts w:ascii="Calibri" w:hAnsi="Calibri"/>
                <w:sz w:val="22"/>
              </w:rPr>
              <w:t>Mid-to-high teens % (raised from mid-teens at Q4 2025 call)</w:t>
            </w:r>
          </w:p>
        </w:tc>
        <w:tc>
          <w:tcPr>
            <w:tcW w:type="dxa" w:w="1728"/>
          </w:tcPr>
          <w:p>
            <w:r>
              <w:rPr>
                <w:rFonts w:ascii="Calibri" w:hAnsi="Calibri"/>
                <w:sz w:val="22"/>
              </w:rPr>
              <w:t>—</w:t>
            </w:r>
          </w:p>
        </w:tc>
        <w:tc>
          <w:tcPr>
            <w:tcW w:type="dxa" w:w="1728"/>
          </w:tcPr>
          <w:p>
            <w:r>
              <w:rPr>
                <w:rFonts w:ascii="Calibri" w:hAnsi="Calibri"/>
                <w:sz w:val="22"/>
              </w:rPr>
              <w:t>~$4.93B (+mid-teens %)</w:t>
            </w:r>
          </w:p>
        </w:tc>
        <w:tc>
          <w:tcPr>
            <w:tcW w:type="dxa" w:w="1728"/>
          </w:tcPr>
          <w:p>
            <w:r>
              <w:rPr>
                <w:rFonts w:ascii="Calibri" w:hAnsi="Calibri"/>
                <w:sz w:val="22"/>
              </w:rPr>
              <w:t>↑ Raised at Q1 2026 earnings (Apr 29); includes ~2% FX/M&amp;A tailwind; tone confident on data center backlog growth</w:t>
            </w:r>
          </w:p>
        </w:tc>
      </w:tr>
      <w:tr>
        <w:tc>
          <w:tcPr>
            <w:tcW w:type="dxa" w:w="1728"/>
          </w:tcPr>
          <w:p>
            <w:r>
              <w:rPr>
                <w:rFonts w:ascii="Calibri" w:hAnsi="Calibri"/>
                <w:sz w:val="22"/>
              </w:rPr>
              <w:t>FY2026 C&amp;I Segment Growth</w:t>
            </w:r>
          </w:p>
        </w:tc>
        <w:tc>
          <w:tcPr>
            <w:tcW w:type="dxa" w:w="1728"/>
          </w:tcPr>
          <w:p>
            <w:r>
              <w:rPr>
                <w:rFonts w:ascii="Calibri" w:hAnsi="Calibri"/>
                <w:sz w:val="22"/>
              </w:rPr>
              <w:t>Mid-to-high 20% (raised from low-to-mid 20% at Investor Day)</w:t>
            </w:r>
          </w:p>
        </w:tc>
        <w:tc>
          <w:tcPr>
            <w:tcW w:type="dxa" w:w="1728"/>
          </w:tcPr>
          <w:p>
            <w:r>
              <w:rPr>
                <w:rFonts w:ascii="Calibri" w:hAnsi="Calibri"/>
                <w:sz w:val="22"/>
              </w:rPr>
              <w:t>—</w:t>
            </w:r>
          </w:p>
        </w:tc>
        <w:tc>
          <w:tcPr>
            <w:tcW w:type="dxa" w:w="1728"/>
          </w:tcPr>
          <w:p>
            <w:r>
              <w:rPr>
                <w:rFonts w:ascii="Calibri" w:hAnsi="Calibri"/>
                <w:sz w:val="22"/>
              </w:rPr>
              <w:t>~$2.21B (+mid-to-high 20%)</w:t>
            </w:r>
          </w:p>
        </w:tc>
        <w:tc>
          <w:tcPr>
            <w:tcW w:type="dxa" w:w="1728"/>
          </w:tcPr>
          <w:p>
            <w:r>
              <w:rPr>
                <w:rFonts w:ascii="Calibri" w:hAnsi="Calibri"/>
                <w:sz w:val="22"/>
              </w:rPr>
              <w:t>↑ Raised at Q1 2026 earnings; driven by data center, telecom, rental, and Enercon contribution</w:t>
            </w:r>
          </w:p>
        </w:tc>
      </w:tr>
      <w:tr>
        <w:tc>
          <w:tcPr>
            <w:tcW w:type="dxa" w:w="1728"/>
          </w:tcPr>
          <w:p>
            <w:r>
              <w:rPr>
                <w:rFonts w:ascii="Calibri" w:hAnsi="Calibri"/>
                <w:sz w:val="22"/>
              </w:rPr>
              <w:t>FY2026 Residential Segment Growth</w:t>
            </w:r>
          </w:p>
        </w:tc>
        <w:tc>
          <w:tcPr>
            <w:tcW w:type="dxa" w:w="1728"/>
          </w:tcPr>
          <w:p>
            <w:r>
              <w:rPr>
                <w:rFonts w:ascii="Calibri" w:hAnsi="Calibri"/>
                <w:sz w:val="22"/>
              </w:rPr>
              <w:t>~+10% YoY</w:t>
            </w:r>
          </w:p>
        </w:tc>
        <w:tc>
          <w:tcPr>
            <w:tcW w:type="dxa" w:w="1728"/>
          </w:tcPr>
          <w:p>
            <w:r>
              <w:rPr>
                <w:rFonts w:ascii="Calibri" w:hAnsi="Calibri"/>
                <w:sz w:val="22"/>
              </w:rPr>
              <w:t>—</w:t>
            </w:r>
          </w:p>
        </w:tc>
        <w:tc>
          <w:tcPr>
            <w:tcW w:type="dxa" w:w="1728"/>
          </w:tcPr>
          <w:p>
            <w:r>
              <w:rPr>
                <w:rFonts w:ascii="Calibri" w:hAnsi="Calibri"/>
                <w:sz w:val="22"/>
              </w:rPr>
              <w:t>~$2.73B (+10%)</w:t>
            </w:r>
          </w:p>
        </w:tc>
        <w:tc>
          <w:tcPr>
            <w:tcW w:type="dxa" w:w="1728"/>
          </w:tcPr>
          <w:p>
            <w:r>
              <w:rPr>
                <w:rFonts w:ascii="Calibri" w:hAnsi="Calibri"/>
                <w:sz w:val="22"/>
              </w:rPr>
              <w:t>Unchanged; assumes return to normal outage environment in H2 2026</w:t>
            </w:r>
          </w:p>
        </w:tc>
      </w:tr>
      <w:tr>
        <w:tc>
          <w:tcPr>
            <w:tcW w:type="dxa" w:w="1728"/>
          </w:tcPr>
          <w:p>
            <w:r>
              <w:rPr>
                <w:rFonts w:ascii="Calibri" w:hAnsi="Calibri"/>
                <w:sz w:val="22"/>
              </w:rPr>
              <w:t>FY2026 Adj. EBITDA Margin</w:t>
            </w:r>
          </w:p>
        </w:tc>
        <w:tc>
          <w:tcPr>
            <w:tcW w:type="dxa" w:w="1728"/>
          </w:tcPr>
          <w:p>
            <w:r>
              <w:rPr>
                <w:rFonts w:ascii="Calibri" w:hAnsi="Calibri"/>
                <w:sz w:val="22"/>
              </w:rPr>
              <w:t>18.5%–19.5% (raised from 18.0%–19.0%)</w:t>
            </w:r>
          </w:p>
        </w:tc>
        <w:tc>
          <w:tcPr>
            <w:tcW w:type="dxa" w:w="1728"/>
          </w:tcPr>
          <w:p>
            <w:r>
              <w:rPr>
                <w:rFonts w:ascii="Calibri" w:hAnsi="Calibri"/>
                <w:sz w:val="22"/>
              </w:rPr>
              <w:t>—</w:t>
            </w:r>
          </w:p>
        </w:tc>
        <w:tc>
          <w:tcPr>
            <w:tcW w:type="dxa" w:w="1728"/>
          </w:tcPr>
          <w:p>
            <w:r>
              <w:rPr>
                <w:rFonts w:ascii="Calibri" w:hAnsi="Calibri"/>
                <w:sz w:val="22"/>
              </w:rPr>
              <w:t>~19.1%</w:t>
            </w:r>
          </w:p>
        </w:tc>
        <w:tc>
          <w:tcPr>
            <w:tcW w:type="dxa" w:w="1728"/>
          </w:tcPr>
          <w:p>
            <w:r>
              <w:rPr>
                <w:rFonts w:ascii="Calibri" w:hAnsi="Calibri"/>
                <w:sz w:val="22"/>
              </w:rPr>
              <w:t>↑ Raised at Q1 2026 earnings; driven by Generac Home cost savings and favorable price/cost; Q4 2026 expected to reach ~20%</w:t>
            </w:r>
          </w:p>
        </w:tc>
      </w:tr>
      <w:tr>
        <w:tc>
          <w:tcPr>
            <w:tcW w:type="dxa" w:w="1728"/>
          </w:tcPr>
          <w:p>
            <w:r>
              <w:rPr>
                <w:rFonts w:ascii="Calibri" w:hAnsi="Calibri"/>
                <w:sz w:val="22"/>
              </w:rPr>
              <w:t>FY2026 Gross Margin</w:t>
            </w:r>
          </w:p>
        </w:tc>
        <w:tc>
          <w:tcPr>
            <w:tcW w:type="dxa" w:w="1728"/>
          </w:tcPr>
          <w:p>
            <w:r>
              <w:rPr>
                <w:rFonts w:ascii="Calibri" w:hAnsi="Calibri"/>
                <w:sz w:val="22"/>
              </w:rPr>
              <w:t>38.5%–39.5% (raised ~50 bps from prior guide)</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 Raised at Q1 2026 earnings; favorable price realization and operational efficiencies</w:t>
            </w:r>
          </w:p>
        </w:tc>
      </w:tr>
      <w:tr>
        <w:tc>
          <w:tcPr>
            <w:tcW w:type="dxa" w:w="1728"/>
          </w:tcPr>
          <w:p>
            <w:r>
              <w:rPr>
                <w:rFonts w:ascii="Calibri" w:hAnsi="Calibri"/>
                <w:sz w:val="22"/>
              </w:rPr>
              <w:t>FY2026 Free Cash Flow</w:t>
            </w:r>
          </w:p>
        </w:tc>
        <w:tc>
          <w:tcPr>
            <w:tcW w:type="dxa" w:w="1728"/>
          </w:tcPr>
          <w:p>
            <w:r>
              <w:rPr>
                <w:rFonts w:ascii="Calibri" w:hAnsi="Calibri"/>
                <w:sz w:val="22"/>
              </w:rPr>
              <w:t>~$350M (H2-weighted)</w:t>
            </w:r>
          </w:p>
        </w:tc>
        <w:tc>
          <w:tcPr>
            <w:tcW w:type="dxa" w:w="1728"/>
          </w:tcPr>
          <w:p>
            <w:r>
              <w:rPr>
                <w:rFonts w:ascii="Calibri" w:hAnsi="Calibri"/>
                <w:sz w:val="22"/>
              </w:rPr>
              <w:t>—</w:t>
            </w:r>
          </w:p>
        </w:tc>
        <w:tc>
          <w:tcPr>
            <w:tcW w:type="dxa" w:w="1728"/>
          </w:tcPr>
          <w:p>
            <w:r>
              <w:rPr>
                <w:rFonts w:ascii="Calibri" w:hAnsi="Calibri"/>
                <w:sz w:val="22"/>
              </w:rPr>
              <w:t>~$350M</w:t>
            </w:r>
          </w:p>
        </w:tc>
        <w:tc>
          <w:tcPr>
            <w:tcW w:type="dxa" w:w="1728"/>
          </w:tcPr>
          <w:p>
            <w:r>
              <w:rPr>
                <w:rFonts w:ascii="Calibri" w:hAnsi="Calibri"/>
                <w:sz w:val="22"/>
              </w:rPr>
              <w:t>Unchanged; consistent with prior guidance</w:t>
            </w:r>
          </w:p>
        </w:tc>
      </w:tr>
      <w:tr>
        <w:tc>
          <w:tcPr>
            <w:tcW w:type="dxa" w:w="1728"/>
          </w:tcPr>
          <w:p>
            <w:r>
              <w:rPr>
                <w:rFonts w:ascii="Calibri" w:hAnsi="Calibri"/>
                <w:sz w:val="22"/>
              </w:rPr>
              <w:t>Q2 2026 Net Sales Growth</w:t>
            </w:r>
          </w:p>
        </w:tc>
        <w:tc>
          <w:tcPr>
            <w:tcW w:type="dxa" w:w="1728"/>
          </w:tcPr>
          <w:p>
            <w:r>
              <w:rPr>
                <w:rFonts w:ascii="Calibri" w:hAnsi="Calibri"/>
                <w:sz w:val="22"/>
              </w:rPr>
              <w:t>~+9–10% YoY; driven entirely by C&amp;I</w:t>
            </w:r>
          </w:p>
        </w:tc>
        <w:tc>
          <w:tcPr>
            <w:tcW w:type="dxa" w:w="1728"/>
          </w:tcPr>
          <w:p>
            <w:r>
              <w:rPr>
                <w:rFonts w:ascii="Calibri" w:hAnsi="Calibri"/>
                <w:sz w:val="22"/>
              </w:rPr>
              <w:t>—</w:t>
            </w:r>
          </w:p>
        </w:tc>
        <w:tc>
          <w:tcPr>
            <w:tcW w:type="dxa" w:w="1728"/>
          </w:tcPr>
          <w:p>
            <w:r>
              <w:rPr>
                <w:rFonts w:ascii="Calibri" w:hAnsi="Calibri"/>
                <w:sz w:val="22"/>
              </w:rPr>
              <w:t>~$1.18B (+11.2%)</w:t>
            </w:r>
          </w:p>
        </w:tc>
        <w:tc>
          <w:tcPr>
            <w:tcW w:type="dxa" w:w="1728"/>
          </w:tcPr>
          <w:p>
            <w:r>
              <w:rPr>
                <w:rFonts w:ascii="Calibri" w:hAnsi="Calibri"/>
                <w:sz w:val="22"/>
              </w:rPr>
              <w:t>Consensus slightly above midpoint; no post-Q1 revision</w:t>
            </w:r>
          </w:p>
        </w:tc>
      </w:tr>
      <w:tr>
        <w:tc>
          <w:tcPr>
            <w:tcW w:type="dxa" w:w="1728"/>
          </w:tcPr>
          <w:p>
            <w:r>
              <w:rPr>
                <w:rFonts w:ascii="Calibri" w:hAnsi="Calibri"/>
                <w:sz w:val="22"/>
              </w:rPr>
              <w:t>Q2 2026 Adj. EBITDA Margin</w:t>
            </w:r>
          </w:p>
        </w:tc>
        <w:tc>
          <w:tcPr>
            <w:tcW w:type="dxa" w:w="1728"/>
          </w:tcPr>
          <w:p>
            <w:r>
              <w:rPr>
                <w:rFonts w:ascii="Calibri" w:hAnsi="Calibri"/>
                <w:sz w:val="22"/>
              </w:rPr>
              <w:t>~18% range; modestly above Q2 2025</w:t>
            </w:r>
          </w:p>
        </w:tc>
        <w:tc>
          <w:tcPr>
            <w:tcW w:type="dxa" w:w="1728"/>
          </w:tcPr>
          <w:p>
            <w:r>
              <w:rPr>
                <w:rFonts w:ascii="Calibri" w:hAnsi="Calibri"/>
                <w:sz w:val="22"/>
              </w:rPr>
              <w:t>—</w:t>
            </w:r>
          </w:p>
        </w:tc>
        <w:tc>
          <w:tcPr>
            <w:tcW w:type="dxa" w:w="1728"/>
          </w:tcPr>
          <w:p>
            <w:r>
              <w:rPr>
                <w:rFonts w:ascii="Calibri" w:hAnsi="Calibri"/>
                <w:sz w:val="22"/>
              </w:rPr>
              <w:t>~18.4%</w:t>
            </w:r>
          </w:p>
        </w:tc>
        <w:tc>
          <w:tcPr>
            <w:tcW w:type="dxa" w:w="1728"/>
          </w:tcPr>
          <w:p>
            <w:r>
              <w:rPr>
                <w:rFonts w:ascii="Calibri" w:hAnsi="Calibri"/>
                <w:sz w:val="22"/>
              </w:rPr>
              <w:t>Consensus ~40 bps above guide midpoint; improving sequentially in H2 toward ~20% in Q4</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have moved meaningfully higher since the Q1 print — Q2 2026 EPS consensus rose from $1.33 to $2.01 post-earnings — reflecting the Street's rapid repricing of the C&amp;I/data center opportunity. FY2026 estimates are tracking squarely within the raised guidance range, suggesting limited incremental cushion unless management raises again on the Q2 call.</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6,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Sales — Q2 2026</w:t>
            </w:r>
          </w:p>
        </w:tc>
        <w:tc>
          <w:tcPr>
            <w:tcW w:type="dxa" w:w="1080"/>
          </w:tcPr>
          <w:p>
            <w:r>
              <w:rPr>
                <w:rFonts w:ascii="Calibri" w:hAnsi="Calibri"/>
                <w:sz w:val="22"/>
              </w:rPr>
              <w:t>$1,178M</w:t>
            </w:r>
          </w:p>
        </w:tc>
        <w:tc>
          <w:tcPr>
            <w:tcW w:type="dxa" w:w="1080"/>
          </w:tcPr>
          <w:p>
            <w:r>
              <w:rPr>
                <w:rFonts w:ascii="Calibri" w:hAnsi="Calibri"/>
                <w:sz w:val="22"/>
              </w:rPr>
              <w:t>$1,180M</w:t>
            </w:r>
          </w:p>
        </w:tc>
        <w:tc>
          <w:tcPr>
            <w:tcW w:type="dxa" w:w="1080"/>
          </w:tcPr>
          <w:p>
            <w:r>
              <w:rPr>
                <w:rFonts w:ascii="Calibri" w:hAnsi="Calibri"/>
                <w:sz w:val="22"/>
              </w:rPr>
              <w:t>+0.2%</w:t>
            </w:r>
          </w:p>
        </w:tc>
        <w:tc>
          <w:tcPr>
            <w:tcW w:type="dxa" w:w="1080"/>
          </w:tcPr>
          <w:p>
            <w:r>
              <w:rPr>
                <w:rFonts w:ascii="Calibri" w:hAnsi="Calibri"/>
                <w:sz w:val="22"/>
              </w:rPr>
              <w:t>+9–10% YoY (~$1,162–$1,167M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~+1.1% above midpoint</w:t>
            </w:r>
          </w:p>
        </w:tc>
      </w:tr>
      <w:tr>
        <w:tc>
          <w:tcPr>
            <w:tcW w:type="dxa" w:w="1080"/>
          </w:tcPr>
          <w:p>
            <w:r>
              <w:rPr>
                <w:rFonts w:ascii="Calibri" w:hAnsi="Calibri"/>
                <w:sz w:val="22"/>
              </w:rPr>
              <w:t>Adj. EBITDA — Q2 2026</w:t>
            </w:r>
          </w:p>
        </w:tc>
        <w:tc>
          <w:tcPr>
            <w:tcW w:type="dxa" w:w="1080"/>
          </w:tcPr>
          <w:p>
            <w:r>
              <w:rPr>
                <w:rFonts w:ascii="Calibri" w:hAnsi="Calibri"/>
                <w:sz w:val="22"/>
              </w:rPr>
              <w:t>$216M</w:t>
            </w:r>
          </w:p>
        </w:tc>
        <w:tc>
          <w:tcPr>
            <w:tcW w:type="dxa" w:w="1080"/>
          </w:tcPr>
          <w:p>
            <w:r>
              <w:rPr>
                <w:rFonts w:ascii="Calibri" w:hAnsi="Calibri"/>
                <w:sz w:val="22"/>
              </w:rPr>
              <w:t>$217M</w:t>
            </w:r>
          </w:p>
        </w:tc>
        <w:tc>
          <w:tcPr>
            <w:tcW w:type="dxa" w:w="1080"/>
          </w:tcPr>
          <w:p>
            <w:r>
              <w:rPr>
                <w:rFonts w:ascii="Calibri" w:hAnsi="Calibri"/>
                <w:sz w:val="22"/>
              </w:rPr>
              <w:t>+0.5%</w:t>
            </w:r>
          </w:p>
        </w:tc>
        <w:tc>
          <w:tcPr>
            <w:tcW w:type="dxa" w:w="1080"/>
          </w:tcPr>
          <w:p>
            <w:r>
              <w:rPr>
                <w:rFonts w:ascii="Calibri" w:hAnsi="Calibri"/>
                <w:sz w:val="22"/>
              </w:rPr>
              <w:t>~18% margin (~$212M)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~+2.4% above guide</w:t>
            </w:r>
          </w:p>
        </w:tc>
      </w:tr>
      <w:tr>
        <w:tc>
          <w:tcPr>
            <w:tcW w:type="dxa" w:w="1080"/>
          </w:tcPr>
          <w:p>
            <w:r>
              <w:rPr>
                <w:rFonts w:ascii="Calibri" w:hAnsi="Calibri"/>
                <w:sz w:val="22"/>
              </w:rPr>
              <w:t>Diluted EPS (Op.) — Q2 2026</w:t>
            </w:r>
          </w:p>
        </w:tc>
        <w:tc>
          <w:tcPr>
            <w:tcW w:type="dxa" w:w="1080"/>
          </w:tcPr>
          <w:p>
            <w:r>
              <w:rPr>
                <w:rFonts w:ascii="Calibri" w:hAnsi="Calibri"/>
                <w:sz w:val="22"/>
              </w:rPr>
              <w:t>$1.97</w:t>
            </w:r>
          </w:p>
        </w:tc>
        <w:tc>
          <w:tcPr>
            <w:tcW w:type="dxa" w:w="1080"/>
          </w:tcPr>
          <w:p>
            <w:r>
              <w:rPr>
                <w:rFonts w:ascii="Calibri" w:hAnsi="Calibri"/>
                <w:sz w:val="22"/>
              </w:rPr>
              <w:t>$2.01</w:t>
            </w:r>
          </w:p>
        </w:tc>
        <w:tc>
          <w:tcPr>
            <w:tcW w:type="dxa" w:w="1080"/>
          </w:tcPr>
          <w:p>
            <w:r>
              <w:rPr>
                <w:rFonts w:ascii="Calibri" w:hAnsi="Calibri"/>
                <w:sz w:val="22"/>
              </w:rPr>
              <w:t>+2.0%</w:t>
            </w:r>
          </w:p>
        </w:tc>
        <w:tc>
          <w:tcPr>
            <w:tcW w:type="dxa" w:w="1080"/>
          </w:tcPr>
          <w:p>
            <w:r>
              <w:rPr>
                <w:rFonts w:ascii="Calibri" w:hAnsi="Calibri"/>
                <w:sz w:val="22"/>
              </w:rPr>
              <w:t>No explicit Q2 EPS guide</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Net Sales — FY2026</w:t>
            </w:r>
          </w:p>
        </w:tc>
        <w:tc>
          <w:tcPr>
            <w:tcW w:type="dxa" w:w="1080"/>
          </w:tcPr>
          <w:p>
            <w:r>
              <w:rPr>
                <w:rFonts w:ascii="Calibri" w:hAnsi="Calibri"/>
                <w:sz w:val="22"/>
              </w:rPr>
              <w:t>$4,923M</w:t>
            </w:r>
          </w:p>
        </w:tc>
        <w:tc>
          <w:tcPr>
            <w:tcW w:type="dxa" w:w="1080"/>
          </w:tcPr>
          <w:p>
            <w:r>
              <w:rPr>
                <w:rFonts w:ascii="Calibri" w:hAnsi="Calibri"/>
                <w:sz w:val="22"/>
              </w:rPr>
              <w:t>$4,927M</w:t>
            </w:r>
          </w:p>
        </w:tc>
        <w:tc>
          <w:tcPr>
            <w:tcW w:type="dxa" w:w="1080"/>
          </w:tcPr>
          <w:p>
            <w:r>
              <w:rPr>
                <w:rFonts w:ascii="Calibri" w:hAnsi="Calibri"/>
                <w:sz w:val="22"/>
              </w:rPr>
              <w:t>+0.1%</w:t>
            </w:r>
          </w:p>
        </w:tc>
        <w:tc>
          <w:tcPr>
            <w:tcW w:type="dxa" w:w="1080"/>
          </w:tcPr>
          <w:p>
            <w:r>
              <w:rPr>
                <w:rFonts w:ascii="Calibri" w:hAnsi="Calibri"/>
                <w:sz w:val="22"/>
              </w:rPr>
              <w:t>Mid-to-high teens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guidance range</w:t>
            </w:r>
          </w:p>
        </w:tc>
      </w:tr>
      <w:tr>
        <w:tc>
          <w:tcPr>
            <w:tcW w:type="dxa" w:w="1080"/>
          </w:tcPr>
          <w:p>
            <w:r>
              <w:rPr>
                <w:rFonts w:ascii="Calibri" w:hAnsi="Calibri"/>
                <w:sz w:val="22"/>
              </w:rPr>
              <w:t>Adj. EBITDA Margin — FY2026</w:t>
            </w:r>
          </w:p>
        </w:tc>
        <w:tc>
          <w:tcPr>
            <w:tcW w:type="dxa" w:w="1080"/>
          </w:tcPr>
          <w:p>
            <w:r>
              <w:rPr>
                <w:rFonts w:ascii="Calibri" w:hAnsi="Calibri"/>
                <w:sz w:val="22"/>
              </w:rPr>
              <w:t>19.14%</w:t>
            </w:r>
          </w:p>
        </w:tc>
        <w:tc>
          <w:tcPr>
            <w:tcW w:type="dxa" w:w="1080"/>
          </w:tcPr>
          <w:p>
            <w:r>
              <w:rPr>
                <w:rFonts w:ascii="Calibri" w:hAnsi="Calibri"/>
                <w:sz w:val="22"/>
              </w:rPr>
              <w:t>19.14%</w:t>
            </w:r>
          </w:p>
        </w:tc>
        <w:tc>
          <w:tcPr>
            <w:tcW w:type="dxa" w:w="1080"/>
          </w:tcPr>
          <w:p>
            <w:r>
              <w:rPr>
                <w:rFonts w:ascii="Calibri" w:hAnsi="Calibri"/>
                <w:sz w:val="22"/>
              </w:rPr>
              <w:t>Flat</w:t>
            </w:r>
          </w:p>
        </w:tc>
        <w:tc>
          <w:tcPr>
            <w:tcW w:type="dxa" w:w="1080"/>
          </w:tcPr>
          <w:p>
            <w:r>
              <w:rPr>
                <w:rFonts w:ascii="Calibri" w:hAnsi="Calibri"/>
                <w:sz w:val="22"/>
              </w:rPr>
              <w:t>18.5%–19.5%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~+64 bps above midpoint</w:t>
            </w:r>
          </w:p>
        </w:tc>
      </w:tr>
      <w:tr>
        <w:tc>
          <w:tcPr>
            <w:tcW w:type="dxa" w:w="1080"/>
          </w:tcPr>
          <w:p>
            <w:r>
              <w:rPr>
                <w:rFonts w:ascii="Calibri" w:hAnsi="Calibri"/>
                <w:sz w:val="22"/>
              </w:rPr>
              <w:t>Diluted EPS (Op.) — FY2026</w:t>
            </w:r>
          </w:p>
        </w:tc>
        <w:tc>
          <w:tcPr>
            <w:tcW w:type="dxa" w:w="1080"/>
          </w:tcPr>
          <w:p>
            <w:r>
              <w:rPr>
                <w:rFonts w:ascii="Calibri" w:hAnsi="Calibri"/>
                <w:sz w:val="22"/>
              </w:rPr>
              <w:t>$8.93</w:t>
            </w:r>
          </w:p>
        </w:tc>
        <w:tc>
          <w:tcPr>
            <w:tcW w:type="dxa" w:w="1080"/>
          </w:tcPr>
          <w:p>
            <w:r>
              <w:rPr>
                <w:rFonts w:ascii="Calibri" w:hAnsi="Calibri"/>
                <w:sz w:val="22"/>
              </w:rPr>
              <w:t>$8.94</w:t>
            </w:r>
          </w:p>
        </w:tc>
        <w:tc>
          <w:tcPr>
            <w:tcW w:type="dxa" w:w="1080"/>
          </w:tcPr>
          <w:p>
            <w:r>
              <w:rPr>
                <w:rFonts w:ascii="Calibri" w:hAnsi="Calibri"/>
                <w:sz w:val="22"/>
              </w:rPr>
              <w:t>+0.1%</w:t>
            </w:r>
          </w:p>
        </w:tc>
        <w:tc>
          <w:tcPr>
            <w:tcW w:type="dxa" w:w="1080"/>
          </w:tcPr>
          <w:p>
            <w:r>
              <w:rPr>
                <w:rFonts w:ascii="Calibri" w:hAnsi="Calibri"/>
                <w:sz w:val="22"/>
              </w:rPr>
              <w:t>No explicit FY EPS guide</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Net Sales — FY2027</w:t>
            </w:r>
          </w:p>
        </w:tc>
        <w:tc>
          <w:tcPr>
            <w:tcW w:type="dxa" w:w="1080"/>
          </w:tcPr>
          <w:p>
            <w:r>
              <w:rPr>
                <w:rFonts w:ascii="Calibri" w:hAnsi="Calibri"/>
                <w:sz w:val="22"/>
              </w:rPr>
              <w:t>$5,581M</w:t>
            </w:r>
          </w:p>
        </w:tc>
        <w:tc>
          <w:tcPr>
            <w:tcW w:type="dxa" w:w="1080"/>
          </w:tcPr>
          <w:p>
            <w:r>
              <w:rPr>
                <w:rFonts w:ascii="Calibri" w:hAnsi="Calibri"/>
                <w:sz w:val="22"/>
              </w:rPr>
              <w:t>$5,696M</w:t>
            </w:r>
          </w:p>
        </w:tc>
        <w:tc>
          <w:tcPr>
            <w:tcW w:type="dxa" w:w="1080"/>
          </w:tcPr>
          <w:p>
            <w:r>
              <w:rPr>
                <w:rFonts w:ascii="Calibri" w:hAnsi="Calibri"/>
                <w:sz w:val="22"/>
              </w:rPr>
              <w:t>+2.1%</w:t>
            </w:r>
          </w:p>
        </w:tc>
        <w:tc>
          <w:tcPr>
            <w:tcW w:type="dxa" w:w="1080"/>
          </w:tcPr>
          <w:p>
            <w:r>
              <w:rPr>
                <w:rFonts w:ascii="Calibri" w:hAnsi="Calibri"/>
                <w:sz w:val="22"/>
              </w:rPr>
              <w:t>No explicit FY2027 guide</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Diluted EPS (Op.) — FY2027</w:t>
            </w:r>
          </w:p>
        </w:tc>
        <w:tc>
          <w:tcPr>
            <w:tcW w:type="dxa" w:w="1080"/>
          </w:tcPr>
          <w:p>
            <w:r>
              <w:rPr>
                <w:rFonts w:ascii="Calibri" w:hAnsi="Calibri"/>
                <w:sz w:val="22"/>
              </w:rPr>
              <w:t>$11.02</w:t>
            </w:r>
          </w:p>
        </w:tc>
        <w:tc>
          <w:tcPr>
            <w:tcW w:type="dxa" w:w="1080"/>
          </w:tcPr>
          <w:p>
            <w:r>
              <w:rPr>
                <w:rFonts w:ascii="Calibri" w:hAnsi="Calibri"/>
                <w:sz w:val="22"/>
              </w:rPr>
              <w:t>$11.35</w:t>
            </w:r>
          </w:p>
        </w:tc>
        <w:tc>
          <w:tcPr>
            <w:tcW w:type="dxa" w:w="1080"/>
          </w:tcPr>
          <w:p>
            <w:r>
              <w:rPr>
                <w:rFonts w:ascii="Calibri" w:hAnsi="Calibri"/>
                <w:sz w:val="22"/>
              </w:rPr>
              <w:t>+3.0%</w:t>
            </w:r>
          </w:p>
        </w:tc>
        <w:tc>
          <w:tcPr>
            <w:tcW w:type="dxa" w:w="1080"/>
          </w:tcPr>
          <w:p>
            <w:r>
              <w:rPr>
                <w:rFonts w:ascii="Calibri" w:hAnsi="Calibri"/>
                <w:sz w:val="22"/>
              </w:rPr>
              <w:t>No explicit FY2027 guide</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b/>
          <w:color w:val="525866"/>
          <w:sz w:val="22"/>
        </w:rPr>
        <w:t xml:space="preserve">Source: Visible Alpha Consensus and Actuals Data. </w:t>
      </w:r>
      <w:r>
        <w:rPr>
          <w:rFonts w:ascii="Calibri" w:hAnsi="Calibri"/>
          <w:color w:val="525866"/>
          <w:sz w:val="22"/>
        </w:rPr>
        <w:t>Estimates have been remarkably stable since the Q1 print, with Q2 and FY2026 consensus essentially unchanged from the post-earnings baseline. The more notable move is in FY2027, where estimates have risen ~2–3% since May 6, reflecting growing Street confidence in the data center ramp extending into 2027. The gap between current consensus and guidance midpoints is modest, suggesting limited cushion for a guidance-driven beat unless management raises again.</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GNRC surged ~37% from the Q1 earnings print to its late-June peak on data center euphoria, then gave back ~33% through July 28 — a de-rating driven almost entirely by multiple compression (EV/EBITDA fell from ~17.9x to ~12.0x) rather than estimate cuts, leaving the stock roughly flat since earnings and creating a potentially attractive setup if Q2 confirms the data center trajectory.</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GNRC vs. XLI (Industrial Select Sector SPDR) vs. S&amp;P 500 — Indexed to 100 at April 29, 2026 (Q1 2026 Earnings Date). Source: Yahoo Finance / Stock Price Data.</w:t>
      </w:r>
    </w:p>
    <w:p>
      <w:r>
        <w:rPr>
          <w:rFonts w:ascii="Calibri" w:hAnsi="Calibri"/>
          <w:color w:val="525866"/>
          <w:sz w:val="22"/>
        </w:rPr>
        <w:t xml:space="preserve">Since the Q1 2026 earnings print on April 29, GNRC has dramatically underperformed both the industrial sector (XLI) and the broader market (S&amp;P 500). Through July 28, GNRC is down approximately </w:t>
      </w:r>
      <w:r>
        <w:rPr>
          <w:rFonts w:ascii="Calibri" w:hAnsi="Calibri"/>
          <w:b/>
          <w:color w:val="525866"/>
          <w:sz w:val="22"/>
        </w:rPr>
        <w:t>−21.9%</w:t>
      </w:r>
      <w:r>
        <w:rPr>
          <w:rFonts w:ascii="Calibri" w:hAnsi="Calibri"/>
          <w:color w:val="525866"/>
          <w:sz w:val="22"/>
        </w:rPr>
        <w:t xml:space="preserve"> since the earnings date, while XLI is up +7.8% and the S&amp;P 500 is up +3.9% over the same period. The stock's trajectory tells a clear story: GNRC initially rallied sharply on the Q1 beat and raised guidance (peaking near +16% indexed), then sold off aggressively through July as the market rotated away from high-multiple industrials and investors grew impatient waiting for formal hyperscale vendor approval announcements. The performance decomposition confirms this is a multiple story — NTM EV/EBITDA compressed from ~17.9x (1 month ago) to ~12.0x today, while EPS estimates have barely moved. This sets up an interesting binary: a Q2 beat with hyperscale confirmation could trigger a sharp multiple re-expansion, while any disappointment on the data center timeline would likely extend the de-rating.</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most important post-Q1 development is the continued absence of a formal hyperscale vendor approval announcement — management said they were "99 yards of the way done" on April 29, and the market has grown impatient. The Sussex facility ramp acceleration (Q3 vs. original Q4) and Enercon integration are secondary positives.</w:t>
      </w:r>
    </w:p>
    <w:p>
      <w:pPr>
        <w:pStyle w:val="ListBullet"/>
        <w:ind w:left="360" w:hanging="360"/>
      </w:pPr>
      <w:r>
        <w:rPr>
          <w:rFonts w:ascii="Calibri" w:hAnsi="Calibri"/>
          <w:b/>
          <w:color w:val="525866"/>
          <w:sz w:val="22"/>
        </w:rPr>
        <w:t>April 29, 2026 — Q1 2026 Earnings Beat &amp; Guidance Raise:</w:t>
      </w:r>
      <w:r>
        <w:rPr>
          <w:rFonts w:ascii="Calibri" w:hAnsi="Calibri"/>
          <w:i/>
          <w:color w:val="525866"/>
          <w:sz w:val="22"/>
        </w:rPr>
        <w:t xml:space="preserve"> GNRC reported Q1 net sales of $1.06B (+12% YoY) and adjusted EBITDA margin of 18.3% (vs. 15.1% consensus), a +320 bps beat. Full-year 2026 guidance raised across all metrics (revenue to mid-to-high teens, EBITDA margin to 18.5–19.5%). Data center backlog disclosed at $700M+ (up ~$300M since Q4 update). Stock surged sharply on the day. </w:t>
      </w:r>
      <w:r>
        <w:rPr>
          <w:rFonts w:ascii="Calibri" w:hAnsi="Calibri"/>
          <w:color w:val="525866"/>
          <w:sz w:val="22"/>
        </w:rPr>
        <w:t>Implication: Sets a high bar for Q2 but also demonstrates management's ability to outperform on margins.</w:t>
      </w:r>
    </w:p>
    <w:p>
      <w:pPr>
        <w:pStyle w:val="ListBullet"/>
        <w:ind w:left="360" w:hanging="360"/>
      </w:pPr>
      <w:r>
        <w:rPr>
          <w:rFonts w:ascii="Calibri" w:hAnsi="Calibri"/>
          <w:b/>
          <w:color w:val="525866"/>
          <w:sz w:val="22"/>
        </w:rPr>
        <w:t>April 1, 2026 — Enercon Acquisition Closed:</w:t>
      </w:r>
      <w:r>
        <w:rPr>
          <w:rFonts w:ascii="Calibri" w:hAnsi="Calibri"/>
          <w:i/>
          <w:color w:val="525866"/>
          <w:sz w:val="22"/>
        </w:rPr>
        <w:t xml:space="preserve"> GNRC completed the acquisition of Enercon (generator enclosures and switchgear) for $122M ($77M cash + $45M stock). Enercon provides vertical integration in large megawatt generator packaging, addressing an emerging industry bottleneck. Management expects margin expansion from in-house packaging capabilities. </w:t>
      </w:r>
      <w:r>
        <w:rPr>
          <w:rFonts w:ascii="Calibri" w:hAnsi="Calibri"/>
          <w:color w:val="525866"/>
          <w:sz w:val="22"/>
        </w:rPr>
        <w:t>Implication: Positive for C&amp;I margins in Q2 and beyond; Enercon contribution expected to be additive to FY2026 C&amp;I guidance.</w:t>
      </w:r>
    </w:p>
    <w:p>
      <w:pPr>
        <w:pStyle w:val="ListBullet"/>
        <w:ind w:left="360" w:hanging="360"/>
      </w:pPr>
      <w:r>
        <w:rPr>
          <w:rFonts w:ascii="Calibri" w:hAnsi="Calibri"/>
          <w:b/>
          <w:color w:val="525866"/>
          <w:sz w:val="22"/>
        </w:rPr>
        <w:t>April 29, 2026 — Sussex Facility Ramp Acceleration:</w:t>
      </w:r>
      <w:r>
        <w:rPr>
          <w:rFonts w:ascii="Calibri" w:hAnsi="Calibri"/>
          <w:i/>
          <w:color w:val="525866"/>
          <w:sz w:val="22"/>
        </w:rPr>
        <w:t xml:space="preserve"> Management disclosed plans to pull forward Sussex, Wisconsin facility production start from Q4 to Q3 2026, targeting $1B+ in domestic large megawatt generator capacity by Q4. </w:t>
      </w:r>
      <w:r>
        <w:rPr>
          <w:rFonts w:ascii="Calibri" w:hAnsi="Calibri"/>
          <w:color w:val="525866"/>
          <w:sz w:val="22"/>
        </w:rPr>
        <w:t>Implication: Positive for H2 2026 C&amp;I revenue; watch for any update on ramp progress in Q2 commentary.</w:t>
      </w:r>
    </w:p>
    <w:p>
      <w:pPr>
        <w:pStyle w:val="ListBullet"/>
        <w:ind w:left="360" w:hanging="360"/>
      </w:pPr>
      <w:r>
        <w:rPr>
          <w:rFonts w:ascii="Calibri" w:hAnsi="Calibri"/>
          <w:b/>
          <w:color w:val="525866"/>
          <w:sz w:val="22"/>
        </w:rPr>
        <w:t>April 29, 2026 — $600M Non-Binding Notice to Proceed:</w:t>
      </w:r>
      <w:r>
        <w:rPr>
          <w:rFonts w:ascii="Calibri" w:hAnsi="Calibri"/>
          <w:i/>
          <w:color w:val="525866"/>
          <w:sz w:val="22"/>
        </w:rPr>
        <w:t xml:space="preserve"> GNRC disclosed receipt of a non-binding NTP for ~$600M in 2027 deliveries from a hyperscale customer (not included in the $700M backlog). Management described the formal agreement as "99 yards of the way done." </w:t>
      </w:r>
      <w:r>
        <w:rPr>
          <w:rFonts w:ascii="Calibri" w:hAnsi="Calibri"/>
          <w:color w:val="525866"/>
          <w:sz w:val="22"/>
        </w:rPr>
        <w:t>Implication: The single most important catalyst for the stock; any Q2 update on binding agreement status will be closely watched.</w:t>
      </w:r>
    </w:p>
    <w:p>
      <w:pPr>
        <w:pStyle w:val="ListBullet"/>
        <w:ind w:left="360" w:hanging="360"/>
      </w:pPr>
      <w:r>
        <w:rPr>
          <w:rFonts w:ascii="Calibri" w:hAnsi="Calibri"/>
          <w:b/>
          <w:color w:val="525866"/>
          <w:sz w:val="22"/>
        </w:rPr>
        <w:t>April 29, 2026 — Multiyear Engine Supplier Exclusivity:</w:t>
      </w:r>
      <w:r>
        <w:rPr>
          <w:rFonts w:ascii="Calibri" w:hAnsi="Calibri"/>
          <w:i/>
          <w:color w:val="525866"/>
          <w:sz w:val="22"/>
        </w:rPr>
        <w:t xml:space="preserve"> Management disclosed a multiyear exclusivity agreement with their large diesel engine supplier in the U.S., a key competitive moat for hyperscale customers. Discussions ongoing about potential U.S. engine production. </w:t>
      </w:r>
      <w:r>
        <w:rPr>
          <w:rFonts w:ascii="Calibri" w:hAnsi="Calibri"/>
          <w:color w:val="525866"/>
          <w:sz w:val="22"/>
        </w:rPr>
        <w:t>Implication: Strengthens GNRC's competitive positioning vs. potential new entrants in the large megawatt generator market.</w:t>
      </w:r>
    </w:p>
    <w:p>
      <w:pPr>
        <w:pStyle w:val="ListBullet"/>
        <w:ind w:left="360" w:hanging="360"/>
      </w:pPr>
      <w:r>
        <w:rPr>
          <w:rFonts w:ascii="Calibri" w:hAnsi="Calibri"/>
          <w:b/>
          <w:color w:val="525866"/>
          <w:sz w:val="22"/>
        </w:rPr>
        <w:t>June 12, 2026 — Annual Shareholder Meeting:</w:t>
      </w:r>
      <w:r>
        <w:rPr>
          <w:rFonts w:ascii="Calibri" w:hAnsi="Calibri"/>
          <w:i/>
          <w:color w:val="525866"/>
          <w:sz w:val="22"/>
        </w:rPr>
        <w:t xml:space="preserve"> Shareholders approved directors, auditors, and executive pay at the annual meeting. No material operational updates disclosed. </w:t>
      </w:r>
      <w:r>
        <w:rPr>
          <w:rFonts w:ascii="Calibri" w:hAnsi="Calibri"/>
          <w:color w:val="525866"/>
          <w:sz w:val="22"/>
        </w:rPr>
        <w:t>Implication: Routine; no read-through for Q2 results.</w:t>
      </w:r>
    </w:p>
    <w:p>
      <w:pPr>
        <w:pStyle w:val="ListBullet"/>
        <w:ind w:left="360" w:hanging="360"/>
      </w:pPr>
      <w:r>
        <w:rPr>
          <w:rFonts w:ascii="Calibri" w:hAnsi="Calibri"/>
          <w:b/>
          <w:color w:val="525866"/>
          <w:sz w:val="22"/>
        </w:rPr>
        <w:t>July 15, 2026 — Q2 Earnings Date Announcement:</w:t>
      </w:r>
      <w:r>
        <w:rPr>
          <w:rFonts w:ascii="Calibri" w:hAnsi="Calibri"/>
          <w:i/>
          <w:color w:val="525866"/>
          <w:sz w:val="22"/>
        </w:rPr>
        <w:t xml:space="preserve"> GNRC announced Q2 2026 results will be released before market open on July 29, 2026, with a conference call at 10:00 a.m. EDT. </w:t>
      </w:r>
      <w:r>
        <w:rPr>
          <w:rFonts w:ascii="Calibri" w:hAnsi="Calibri"/>
          <w:color w:val="525866"/>
          <w:sz w:val="22"/>
        </w:rPr>
        <w:t>Implication: Confirms the earnings timeline; no pre-announcement or guidance update included.</w:t>
      </w:r>
    </w:p>
    <w:p>
      <w:pPr>
        <w:pStyle w:val="ListBullet"/>
        <w:ind w:left="360" w:hanging="360"/>
      </w:pPr>
      <w:r>
        <w:rPr>
          <w:rFonts w:ascii="Calibri" w:hAnsi="Calibri"/>
          <w:b/>
          <w:color w:val="525866"/>
          <w:sz w:val="22"/>
        </w:rPr>
        <w:t>July 28, 2026 — Stock Down ~22% Since Q1 Earnings:</w:t>
      </w:r>
      <w:r>
        <w:rPr>
          <w:rFonts w:ascii="Calibri" w:hAnsi="Calibri"/>
          <w:i/>
          <w:color w:val="525866"/>
          <w:sz w:val="22"/>
        </w:rPr>
        <w:t xml:space="preserve"> GNRC has significantly underperformed XLI (+7.8%) and the S&amp;P 500 (+3.9%) since the Q1 print, driven by multiple compression (NTM EV/EBITDA from ~17.9x to ~12.0x) rather than estimate cuts. </w:t>
      </w:r>
      <w:r>
        <w:rPr>
          <w:rFonts w:ascii="Calibri" w:hAnsi="Calibri"/>
          <w:color w:val="525866"/>
          <w:sz w:val="22"/>
        </w:rPr>
        <w:t>Implication: Creates a potentially attractive setup if Q2 confirms the data center trajectory, but also signals elevated investor skepticism about the hyperscale timeline.</w:t>
      </w:r>
    </w:p>
    <w:p>
      <w:r>
        <w:br w:type="page"/>
      </w:r>
    </w:p>
    <w:p>
      <w:pPr>
        <w:pStyle w:val="Heading1"/>
        <w:pBdr>
          <w:bottom w:val="single" w:sz="4" w:space="1" w:color="FB9120"/>
        </w:pBdr>
      </w:pPr>
      <w:r>
        <w:rPr>
          <w:rFonts w:ascii="Calibri" w:hAnsi="Calibri"/>
          <w:b/>
          <w:color w:val="3B4259"/>
          <w:sz w:val="40"/>
        </w:rPr>
        <w:t>7. Peer Commentary &amp; Current-Quarter Read-Throughs</w:t>
      </w:r>
    </w:p>
    <w:p>
      <w:r>
        <w:rPr>
          <w:rFonts w:ascii="Calibri" w:hAnsi="Calibri"/>
          <w:b/>
          <w:color w:val="525866"/>
          <w:sz w:val="22"/>
        </w:rPr>
        <w:t xml:space="preserve">Key Takeaway: </w:t>
      </w:r>
      <w:r>
        <w:rPr>
          <w:rFonts w:ascii="Calibri" w:hAnsi="Calibri"/>
          <w:color w:val="525866"/>
          <w:sz w:val="22"/>
        </w:rPr>
        <w:t>Carrier Global's Q2 2026 results (reported July 28) and June 9 conference commentary provide the most relevant peer read-throughs for GNRC's Q2 print. Both sources confirm accelerating data center demand — Carrier reported data center orders up 4x YoY in Q2 and raised its full-year data center sales outlook to ~$2B — which is a strong directional positive for GNRC's C&amp;I segment. Residential channel conditions are also improving, with Carrier reporting healthy field inventory and better-than-expected residential demand.</w:t>
      </w:r>
    </w:p>
    <w:p>
      <w:r>
        <w:rPr>
          <w:rFonts w:ascii="Calibri" w:hAnsi="Calibri"/>
          <w:b/>
          <w:color w:val="525866"/>
          <w:sz w:val="22"/>
        </w:rPr>
        <w:t xml:space="preserve">Note: </w:t>
      </w:r>
      <w:r>
        <w:rPr>
          <w:rFonts w:ascii="Calibri" w:hAnsi="Calibri"/>
          <w:color w:val="525866"/>
          <w:sz w:val="22"/>
        </w:rPr>
        <w:t>All read-throughs below are directional signals from peers operating in adjacent markets. They are not direct evidence of GNRC's Q2 results. Only commentary from the last 60 days (post-April 29, 2026) addressing Q2 2026 conditions or the forward outlook is included. Stale peer commentary about already-reported prior quarters has been excluded.</w:t>
      </w:r>
    </w:p>
    <w:p>
      <w:pPr>
        <w:pStyle w:val="Heading2"/>
      </w:pPr>
      <w:r>
        <w:rPr>
          <w:rFonts w:ascii="Calibri" w:hAnsi="Calibri"/>
          <w:b/>
          <w:color w:val="3B4259"/>
          <w:sz w:val="28"/>
        </w:rPr>
        <w:t>Carrier Global (CARR) — Q2 2026 Earnings Call (July 28, 2026)</w:t>
      </w:r>
    </w:p>
    <w:p>
      <w:r>
        <w:rPr>
          <w:rFonts w:ascii="Calibri" w:hAnsi="Calibri"/>
          <w:b/>
          <w:color w:val="525866"/>
          <w:sz w:val="22"/>
        </w:rPr>
        <w:t xml:space="preserve">Relevance: </w:t>
      </w:r>
      <w:r>
        <w:rPr>
          <w:rFonts w:ascii="Calibri" w:hAnsi="Calibri"/>
          <w:color w:val="525866"/>
          <w:sz w:val="22"/>
        </w:rPr>
        <w:t>Carrier is a leading provider of HVAC and cooling solutions for data centers and residential markets — a direct adjacent market to GNRC's C&amp;I and residential segments. Carrier's Q2 2026 results were reported on the same day as this preview (July 28, 2026) and represent the most current peer data available.</w:t>
      </w:r>
    </w:p>
    <w:p>
      <w:pPr>
        <w:pStyle w:val="ListBullet"/>
        <w:ind w:left="360" w:hanging="360"/>
      </w:pPr>
      <w:r>
        <w:rPr>
          <w:rFonts w:ascii="Calibri" w:hAnsi="Calibri"/>
          <w:b/>
          <w:color w:val="525866"/>
          <w:sz w:val="22"/>
        </w:rPr>
        <w:t>Data Center Orders Up 4x YoY in Q2 2026 (</w:t>
      </w:r>
      <w:r>
        <w:rPr>
          <w:rFonts w:ascii="Calibri" w:hAnsi="Calibri"/>
          <w:i/>
          <w:color w:val="525866"/>
          <w:sz w:val="22"/>
        </w:rPr>
        <w:t>CARR Q2 2026 Earnings Call, July 28, 2026</w:t>
      </w:r>
      <w:r>
        <w:rPr>
          <w:rFonts w:ascii="Calibri" w:hAnsi="Calibri"/>
          <w:color w:val="525866"/>
          <w:sz w:val="22"/>
        </w:rPr>
        <w:t xml:space="preserve">): Carrier reported total company orders up ~40% in Q2, with commercial HVAC orders up ~65%, "driven by continued strength in data centers where orders were up four x over last year." Total company backlog exceeded $8B, up ~40% YoY and +20% sequentially, with data centers representing ~40% of commercial backlog. </w:t>
      </w:r>
      <w:r>
        <w:rPr>
          <w:rFonts w:ascii="Calibri" w:hAnsi="Calibri"/>
          <w:b/>
          <w:color w:val="525866"/>
          <w:sz w:val="22"/>
        </w:rPr>
        <w:t xml:space="preserve">GNRC Read-Through: </w:t>
      </w:r>
      <w:r>
        <w:rPr>
          <w:rFonts w:ascii="Calibri" w:hAnsi="Calibri"/>
          <w:color w:val="525866"/>
          <w:sz w:val="22"/>
        </w:rPr>
        <w:t>Highly positive. Accelerating data center infrastructure investment directly supports demand for GNRC's large megawatt backup generators. The 4x order growth at Carrier suggests the data center buildout is accelerating, not decelerating, which should support GNRC's $700M+ backlog and the $600M NTP opportunity.</w:t>
      </w:r>
    </w:p>
    <w:p>
      <w:pPr>
        <w:pStyle w:val="ListBullet"/>
        <w:ind w:left="360" w:hanging="360"/>
      </w:pPr>
      <w:r>
        <w:rPr>
          <w:rFonts w:ascii="Calibri" w:hAnsi="Calibri"/>
          <w:b/>
          <w:color w:val="525866"/>
          <w:sz w:val="22"/>
        </w:rPr>
        <w:t>Carrier Raises FY2026 Data Center Sales Outlook to ~$2B (</w:t>
      </w:r>
      <w:r>
        <w:rPr>
          <w:rFonts w:ascii="Calibri" w:hAnsi="Calibri"/>
          <w:i/>
          <w:color w:val="525866"/>
          <w:sz w:val="22"/>
        </w:rPr>
        <w:t>CARR Q2 2026 Earnings Call, July 28, 2026</w:t>
      </w:r>
      <w:r>
        <w:rPr>
          <w:rFonts w:ascii="Calibri" w:hAnsi="Calibri"/>
          <w:color w:val="525866"/>
          <w:sz w:val="22"/>
        </w:rPr>
        <w:t xml:space="preserve">): Carrier raised its full-year data center sales outlook to ~$2B ("second year in a row of doubling"), with $1.5B of the $2B expected in H2 2026. The 2026 data center forecast is "all in backlog." Exit rate into 2027 implies ~$2.5B capacity, with demand already exceeding that. </w:t>
      </w:r>
      <w:r>
        <w:rPr>
          <w:rFonts w:ascii="Calibri" w:hAnsi="Calibri"/>
          <w:b/>
          <w:color w:val="525866"/>
          <w:sz w:val="22"/>
        </w:rPr>
        <w:t xml:space="preserve">GNRC Read-Through: </w:t>
      </w:r>
      <w:r>
        <w:rPr>
          <w:rFonts w:ascii="Calibri" w:hAnsi="Calibri"/>
          <w:color w:val="525866"/>
          <w:sz w:val="22"/>
        </w:rPr>
        <w:t>Positive. The H2 2026 ramp in data center infrastructure spending aligns with GNRC's own H2-weighted revenue guidance (~55% of FY sales in H2) and supports the Sussex facility ramp acceleration.</w:t>
      </w:r>
    </w:p>
    <w:p>
      <w:pPr>
        <w:pStyle w:val="ListBullet"/>
        <w:ind w:left="360" w:hanging="360"/>
      </w:pPr>
      <w:r>
        <w:rPr>
          <w:rFonts w:ascii="Calibri" w:hAnsi="Calibri"/>
          <w:b/>
          <w:color w:val="525866"/>
          <w:sz w:val="22"/>
        </w:rPr>
        <w:t>Carrier Planning New U.S. Manufacturing Facility for Data Centers (</w:t>
      </w:r>
      <w:r>
        <w:rPr>
          <w:rFonts w:ascii="Calibri" w:hAnsi="Calibri"/>
          <w:i/>
          <w:color w:val="525866"/>
          <w:sz w:val="22"/>
        </w:rPr>
        <w:t>CARR Q2 2026 Earnings Call, July 28, 2026</w:t>
      </w:r>
      <w:r>
        <w:rPr>
          <w:rFonts w:ascii="Calibri" w:hAnsi="Calibri"/>
          <w:color w:val="525866"/>
          <w:sz w:val="22"/>
        </w:rPr>
        <w:t xml:space="preserve">): Carrier is finalizing plans for a new U.S. facility (Texas or Alabama) to support data center demand through 2027–2029, with CapEx increasing from ~$500M to ~$600M. </w:t>
      </w:r>
      <w:r>
        <w:rPr>
          <w:rFonts w:ascii="Calibri" w:hAnsi="Calibri"/>
          <w:b/>
          <w:color w:val="525866"/>
          <w:sz w:val="22"/>
        </w:rPr>
        <w:t xml:space="preserve">GNRC Read-Through: </w:t>
      </w:r>
      <w:r>
        <w:rPr>
          <w:rFonts w:ascii="Calibri" w:hAnsi="Calibri"/>
          <w:color w:val="525866"/>
          <w:sz w:val="22"/>
        </w:rPr>
        <w:t>Positive for the multi-year data center infrastructure cycle. Also validates GNRC's own capacity expansion strategy (targeting $2–$3B in future capacity) as rational and necessary.</w:t>
      </w:r>
    </w:p>
    <w:p>
      <w:pPr>
        <w:pStyle w:val="ListBullet"/>
        <w:ind w:left="360" w:hanging="360"/>
      </w:pPr>
      <w:r>
        <w:rPr>
          <w:rFonts w:ascii="Calibri" w:hAnsi="Calibri"/>
          <w:b/>
          <w:color w:val="525866"/>
          <w:sz w:val="22"/>
        </w:rPr>
        <w:t>Residential Market Better Than Expected; Field Inventory Healthy (</w:t>
      </w:r>
      <w:r>
        <w:rPr>
          <w:rFonts w:ascii="Calibri" w:hAnsi="Calibri"/>
          <w:i/>
          <w:color w:val="525866"/>
          <w:sz w:val="22"/>
        </w:rPr>
        <w:t>CARR Q2 2026 Earnings Call, July 28, 2026</w:t>
      </w:r>
      <w:r>
        <w:rPr>
          <w:rFonts w:ascii="Calibri" w:hAnsi="Calibri"/>
          <w:color w:val="525866"/>
          <w:sz w:val="22"/>
        </w:rPr>
        <w:t xml:space="preserve">): Carrier reported residential field inventory ending Q2 down ~25% YoY (healthy), with inbound calls to dealers "higher than expected." North American residential market now expected to be 7–7.5M units (stable YoY). Carrier raised FY2026 residential sales guidance to "up high single digits." </w:t>
      </w:r>
      <w:r>
        <w:rPr>
          <w:rFonts w:ascii="Calibri" w:hAnsi="Calibri"/>
          <w:b/>
          <w:color w:val="525866"/>
          <w:sz w:val="22"/>
        </w:rPr>
        <w:t xml:space="preserve">GNRC Read-Through: </w:t>
      </w:r>
      <w:r>
        <w:rPr>
          <w:rFonts w:ascii="Calibri" w:hAnsi="Calibri"/>
          <w:color w:val="525866"/>
          <w:sz w:val="22"/>
        </w:rPr>
        <w:t>Modestly positive for GNRC's residential segment. Healthy channel inventory and improving consumer engagement suggest the residential home equipment market is in reasonable shape, which could support GNRC's home standby generator demand, particularly if outage activity normalizes in H2 as management assumes.</w:t>
      </w:r>
    </w:p>
    <w:p>
      <w:pPr>
        <w:pStyle w:val="ListBullet"/>
        <w:ind w:left="360" w:hanging="360"/>
      </w:pPr>
      <w:r>
        <w:rPr>
          <w:rFonts w:ascii="Calibri" w:hAnsi="Calibri"/>
          <w:b/>
          <w:color w:val="525866"/>
          <w:sz w:val="22"/>
        </w:rPr>
        <w:t>Tariffs Net Negative to Margins in Q2; Pricing Partially Offsetting (</w:t>
      </w:r>
      <w:r>
        <w:rPr>
          <w:rFonts w:ascii="Calibri" w:hAnsi="Calibri"/>
          <w:i/>
          <w:color w:val="525866"/>
          <w:sz w:val="22"/>
        </w:rPr>
        <w:t>CARR Q2 2026 Earnings Call, July 28, 2026</w:t>
      </w:r>
      <w:r>
        <w:rPr>
          <w:rFonts w:ascii="Calibri" w:hAnsi="Calibri"/>
          <w:color w:val="525866"/>
          <w:sz w:val="22"/>
        </w:rPr>
        <w:t xml:space="preserve">): Carrier noted that "the impact of tariffs and pricing associated with tariffs was a net negative" in Q2, as tariffs went into effect in early April and pricing adjustments followed at month-end. Full-year pricing expected in the ~4% range. </w:t>
      </w:r>
      <w:r>
        <w:rPr>
          <w:rFonts w:ascii="Calibri" w:hAnsi="Calibri"/>
          <w:b/>
          <w:color w:val="525866"/>
          <w:sz w:val="22"/>
        </w:rPr>
        <w:t xml:space="preserve">GNRC Read-Through: </w:t>
      </w:r>
      <w:r>
        <w:rPr>
          <w:rFonts w:ascii="Calibri" w:hAnsi="Calibri"/>
          <w:color w:val="525866"/>
          <w:sz w:val="22"/>
        </w:rPr>
        <w:t>Cautionary. GNRC faces similar tariff dynamics (Section 232, 301 tariffs on steel/aluminum and imported components). Management's Q1 guidance assumed IEEPA tariff removal would be fully offset by new tariff frameworks, but Carrier's experience suggests the timing mismatch between tariff implementation and pricing recovery can create near-term margin headwinds.</w:t>
      </w:r>
    </w:p>
    <w:p>
      <w:pPr>
        <w:pStyle w:val="Heading2"/>
      </w:pPr>
      <w:r>
        <w:rPr>
          <w:rFonts w:ascii="Calibri" w:hAnsi="Calibri"/>
          <w:b/>
          <w:color w:val="3B4259"/>
          <w:sz w:val="28"/>
        </w:rPr>
        <w:t>Carrier Global (CARR) — Wells Fargo Industrials &amp; Materials Conference (June 9, 2026)</w:t>
      </w:r>
    </w:p>
    <w:p>
      <w:r>
        <w:rPr>
          <w:rFonts w:ascii="Calibri" w:hAnsi="Calibri"/>
          <w:b/>
          <w:color w:val="525866"/>
          <w:sz w:val="22"/>
        </w:rPr>
        <w:t xml:space="preserve">Relevance: </w:t>
      </w:r>
      <w:r>
        <w:rPr>
          <w:rFonts w:ascii="Calibri" w:hAnsi="Calibri"/>
          <w:color w:val="525866"/>
          <w:sz w:val="22"/>
        </w:rPr>
        <w:t>This conference commentary was provided during GNRC's Q2 2026 reporting period and addresses Q2 conditions and the forward outlook.</w:t>
      </w:r>
    </w:p>
    <w:p>
      <w:pPr>
        <w:pStyle w:val="ListBullet"/>
        <w:ind w:left="360" w:hanging="360"/>
      </w:pPr>
      <w:r>
        <w:rPr>
          <w:rFonts w:ascii="Calibri" w:hAnsi="Calibri"/>
          <w:b/>
          <w:color w:val="525866"/>
          <w:sz w:val="22"/>
        </w:rPr>
        <w:t>Data Center Demand "Exponentially Higher" vs. 2 Months Prior (</w:t>
      </w:r>
      <w:r>
        <w:rPr>
          <w:rFonts w:ascii="Calibri" w:hAnsi="Calibri"/>
          <w:i/>
          <w:color w:val="525866"/>
          <w:sz w:val="22"/>
        </w:rPr>
        <w:t>CARR Wells Fargo Conference, June 9, 2026</w:t>
      </w:r>
      <w:r>
        <w:rPr>
          <w:rFonts w:ascii="Calibri" w:hAnsi="Calibri"/>
          <w:color w:val="525866"/>
          <w:sz w:val="22"/>
        </w:rPr>
        <w:t xml:space="preserve">): Carrier CEO David Gitlin stated: "My thinking on data center demand for '27 today versus 2 months ago, exponentially higher." Carrier was "fully covered for the year" on its $1.5B data center sales target and pushing to exceed it, with demand for 2027 already exceeding $2.5B capacity. </w:t>
      </w:r>
      <w:r>
        <w:rPr>
          <w:rFonts w:ascii="Calibri" w:hAnsi="Calibri"/>
          <w:b/>
          <w:color w:val="525866"/>
          <w:sz w:val="22"/>
        </w:rPr>
        <w:t xml:space="preserve">GNRC Read-Through: </w:t>
      </w:r>
      <w:r>
        <w:rPr>
          <w:rFonts w:ascii="Calibri" w:hAnsi="Calibri"/>
          <w:color w:val="525866"/>
          <w:sz w:val="22"/>
        </w:rPr>
        <w:t>Strongly positive. The acceleration in data center demand conviction during Q2 supports GNRC's own backlog growth trajectory and the credibility of the $600M NTP opportunity.</w:t>
      </w:r>
    </w:p>
    <w:p>
      <w:pPr>
        <w:pStyle w:val="ListBullet"/>
        <w:ind w:left="360" w:hanging="360"/>
      </w:pPr>
      <w:r>
        <w:rPr>
          <w:rFonts w:ascii="Calibri" w:hAnsi="Calibri"/>
          <w:b/>
          <w:color w:val="525866"/>
          <w:sz w:val="22"/>
        </w:rPr>
        <w:t>Residential Demand Exceeding Expectations in Q2 (</w:t>
      </w:r>
      <w:r>
        <w:rPr>
          <w:rFonts w:ascii="Calibri" w:hAnsi="Calibri"/>
          <w:i/>
          <w:color w:val="525866"/>
          <w:sz w:val="22"/>
        </w:rPr>
        <w:t>CARR Wells Fargo Conference, June 9, 2026</w:t>
      </w:r>
      <w:r>
        <w:rPr>
          <w:rFonts w:ascii="Calibri" w:hAnsi="Calibri"/>
          <w:color w:val="525866"/>
          <w:sz w:val="22"/>
        </w:rPr>
        <w:t xml:space="preserve">): Carrier noted residential demand had "exceeded our expectations" with April "quite strong" and June starting "fine." Industry shipment forecast revised up from ~6M to ~7M units. </w:t>
      </w:r>
      <w:r>
        <w:rPr>
          <w:rFonts w:ascii="Calibri" w:hAnsi="Calibri"/>
          <w:b/>
          <w:color w:val="525866"/>
          <w:sz w:val="22"/>
        </w:rPr>
        <w:t xml:space="preserve">GNRC Read-Through: </w:t>
      </w:r>
      <w:r>
        <w:rPr>
          <w:rFonts w:ascii="Calibri" w:hAnsi="Calibri"/>
          <w:color w:val="525866"/>
          <w:sz w:val="22"/>
        </w:rPr>
        <w:t>Modestly positive for GNRC's residential segment. Improving consumer demand for home equipment in Q2 could support home standby generator consultations and close rates.</w:t>
      </w:r>
    </w:p>
    <w:p>
      <w:pPr>
        <w:pStyle w:val="ListBullet"/>
        <w:ind w:left="360" w:hanging="360"/>
      </w:pPr>
      <w:r>
        <w:rPr>
          <w:rFonts w:ascii="Calibri" w:hAnsi="Calibri"/>
          <w:b/>
          <w:color w:val="525866"/>
          <w:sz w:val="22"/>
        </w:rPr>
        <w:t>Channel Inventory Normalized; Distributors Well-Positioned (</w:t>
      </w:r>
      <w:r>
        <w:rPr>
          <w:rFonts w:ascii="Calibri" w:hAnsi="Calibri"/>
          <w:i/>
          <w:color w:val="525866"/>
          <w:sz w:val="22"/>
        </w:rPr>
        <w:t>CARR Wells Fargo Conference, June 9, 2026</w:t>
      </w:r>
      <w:r>
        <w:rPr>
          <w:rFonts w:ascii="Calibri" w:hAnsi="Calibri"/>
          <w:color w:val="525866"/>
          <w:sz w:val="22"/>
        </w:rPr>
        <w:t xml:space="preserve">): Carrier reported field inventory down ~35–40% YoY at end of Q1, with distributors "well positioned" for Q2 and Q3. Management described careful SKU-level inventory management to match supply with demand. </w:t>
      </w:r>
      <w:r>
        <w:rPr>
          <w:rFonts w:ascii="Calibri" w:hAnsi="Calibri"/>
          <w:b/>
          <w:color w:val="525866"/>
          <w:sz w:val="22"/>
        </w:rPr>
        <w:t xml:space="preserve">GNRC Read-Through: </w:t>
      </w:r>
      <w:r>
        <w:rPr>
          <w:rFonts w:ascii="Calibri" w:hAnsi="Calibri"/>
          <w:color w:val="525866"/>
          <w:sz w:val="22"/>
        </w:rPr>
        <w:t>Positive. Healthy and normalized channel inventory across the industrial equipment space suggests GNRC's own dealer network is unlikely to face inventory-related headwinds in Q2.</w:t>
      </w:r>
    </w:p>
    <w:p>
      <w:pPr>
        <w:pStyle w:val="ListBullet"/>
        <w:ind w:left="360" w:hanging="360"/>
      </w:pPr>
      <w:r>
        <w:rPr>
          <w:rFonts w:ascii="Calibri" w:hAnsi="Calibri"/>
          <w:b/>
          <w:color w:val="525866"/>
          <w:sz w:val="22"/>
        </w:rPr>
        <w:t>Steel/Aluminum Tariff Reduction (232 from 25% to 15%) (</w:t>
      </w:r>
      <w:r>
        <w:rPr>
          <w:rFonts w:ascii="Calibri" w:hAnsi="Calibri"/>
          <w:i/>
          <w:color w:val="525866"/>
          <w:sz w:val="22"/>
        </w:rPr>
        <w:t>CARR Wells Fargo Conference, June 9, 2026</w:t>
      </w:r>
      <w:r>
        <w:rPr>
          <w:rFonts w:ascii="Calibri" w:hAnsi="Calibri"/>
          <w:color w:val="525866"/>
          <w:sz w:val="22"/>
        </w:rPr>
        <w:t xml:space="preserve">): The 232 tariff was reduced from 25% to 15% (with a path to 10% based on U.S. steel content). Carrier noted residential pricing moving from "high single digits" to "mid-single digits" going forward. </w:t>
      </w:r>
      <w:r>
        <w:rPr>
          <w:rFonts w:ascii="Calibri" w:hAnsi="Calibri"/>
          <w:b/>
          <w:color w:val="525866"/>
          <w:sz w:val="22"/>
        </w:rPr>
        <w:t xml:space="preserve">GNRC Read-Through: </w:t>
      </w:r>
      <w:r>
        <w:rPr>
          <w:rFonts w:ascii="Calibri" w:hAnsi="Calibri"/>
          <w:color w:val="525866"/>
          <w:sz w:val="22"/>
        </w:rPr>
        <w:t>Modestly positive. Lower steel/aluminum tariffs could reduce input costs for GNRC's generator manufacturing, potentially providing a modest gross margin tailwind in Q2 and H2 2026.</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All insider activity since the Q1 print consists of routine 10b5-1 planned sales by CEO Aaron Jagdfeld (5,000 shares/month) and a single small planned sale by the President of Generac Home. No open-market discretionary buys or unusual sale activity. The consistent, pre-scheduled nature of these transactions limits their informational value.</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Aaron Jagdfeld</w:t>
            </w:r>
          </w:p>
        </w:tc>
        <w:tc>
          <w:tcPr>
            <w:tcW w:type="dxa" w:w="1234"/>
          </w:tcPr>
          <w:p>
            <w:r>
              <w:rPr>
                <w:rFonts w:ascii="Calibri" w:hAnsi="Calibri"/>
                <w:sz w:val="22"/>
              </w:rPr>
              <w:t>CEO &amp; Director</w:t>
            </w:r>
          </w:p>
        </w:tc>
        <w:tc>
          <w:tcPr>
            <w:tcW w:type="dxa" w:w="1234"/>
          </w:tcPr>
          <w:p>
            <w:r>
              <w:rPr>
                <w:rFonts w:ascii="Calibri" w:hAnsi="Calibri"/>
                <w:sz w:val="22"/>
              </w:rPr>
              <w:t>10b5-1 Planned Sale</w:t>
            </w:r>
          </w:p>
        </w:tc>
        <w:tc>
          <w:tcPr>
            <w:tcW w:type="dxa" w:w="1234"/>
          </w:tcPr>
          <w:p>
            <w:r>
              <w:rPr>
                <w:rFonts w:ascii="Calibri" w:hAnsi="Calibri"/>
                <w:sz w:val="22"/>
              </w:rPr>
              <w:t>5,000</w:t>
            </w:r>
          </w:p>
        </w:tc>
        <w:tc>
          <w:tcPr>
            <w:tcW w:type="dxa" w:w="1234"/>
          </w:tcPr>
          <w:p>
            <w:r>
              <w:rPr>
                <w:rFonts w:ascii="Calibri" w:hAnsi="Calibri"/>
                <w:sz w:val="22"/>
              </w:rPr>
              <w:t>~$1.3M</w:t>
            </w:r>
          </w:p>
        </w:tc>
        <w:tc>
          <w:tcPr>
            <w:tcW w:type="dxa" w:w="1234"/>
          </w:tcPr>
          <w:p>
            <w:r>
              <w:rPr>
                <w:rFonts w:ascii="Calibri" w:hAnsi="Calibri"/>
                <w:sz w:val="22"/>
              </w:rPr>
              <w:t>July 1, 2026</w:t>
            </w:r>
          </w:p>
        </w:tc>
        <w:tc>
          <w:tcPr>
            <w:tcW w:type="dxa" w:w="1234"/>
          </w:tcPr>
          <w:p>
            <w:r>
              <w:rPr>
                <w:rFonts w:ascii="Calibri" w:hAnsi="Calibri"/>
                <w:sz w:val="22"/>
              </w:rPr>
              <w:t>Pre-scheduled; 3rd consecutive monthly sale of 5,000 shares; 559,528 shares retained</w:t>
            </w:r>
          </w:p>
        </w:tc>
      </w:tr>
      <w:tr>
        <w:tc>
          <w:tcPr>
            <w:tcW w:type="dxa" w:w="1234"/>
          </w:tcPr>
          <w:p>
            <w:r>
              <w:rPr>
                <w:rFonts w:ascii="Calibri" w:hAnsi="Calibri"/>
                <w:sz w:val="22"/>
              </w:rPr>
              <w:t>Norman P. Taffe</w:t>
            </w:r>
          </w:p>
        </w:tc>
        <w:tc>
          <w:tcPr>
            <w:tcW w:type="dxa" w:w="1234"/>
          </w:tcPr>
          <w:p>
            <w:r>
              <w:rPr>
                <w:rFonts w:ascii="Calibri" w:hAnsi="Calibri"/>
                <w:sz w:val="22"/>
              </w:rPr>
              <w:t>President, Generac Home</w:t>
            </w:r>
          </w:p>
        </w:tc>
        <w:tc>
          <w:tcPr>
            <w:tcW w:type="dxa" w:w="1234"/>
          </w:tcPr>
          <w:p>
            <w:r>
              <w:rPr>
                <w:rFonts w:ascii="Calibri" w:hAnsi="Calibri"/>
                <w:sz w:val="22"/>
              </w:rPr>
              <w:t>10b5-1 Planned Sale</w:t>
            </w:r>
          </w:p>
        </w:tc>
        <w:tc>
          <w:tcPr>
            <w:tcW w:type="dxa" w:w="1234"/>
          </w:tcPr>
          <w:p>
            <w:r>
              <w:rPr>
                <w:rFonts w:ascii="Calibri" w:hAnsi="Calibri"/>
                <w:sz w:val="22"/>
              </w:rPr>
              <w:t>550</w:t>
            </w:r>
          </w:p>
        </w:tc>
        <w:tc>
          <w:tcPr>
            <w:tcW w:type="dxa" w:w="1234"/>
          </w:tcPr>
          <w:p>
            <w:r>
              <w:rPr>
                <w:rFonts w:ascii="Calibri" w:hAnsi="Calibri"/>
                <w:sz w:val="22"/>
              </w:rPr>
              <w:t>~$0.1M</w:t>
            </w:r>
          </w:p>
        </w:tc>
        <w:tc>
          <w:tcPr>
            <w:tcW w:type="dxa" w:w="1234"/>
          </w:tcPr>
          <w:p>
            <w:r>
              <w:rPr>
                <w:rFonts w:ascii="Calibri" w:hAnsi="Calibri"/>
                <w:sz w:val="22"/>
              </w:rPr>
              <w:t>July 6, 2026</w:t>
            </w:r>
          </w:p>
        </w:tc>
        <w:tc>
          <w:tcPr>
            <w:tcW w:type="dxa" w:w="1234"/>
          </w:tcPr>
          <w:p>
            <w:r>
              <w:rPr>
                <w:rFonts w:ascii="Calibri" w:hAnsi="Calibri"/>
                <w:sz w:val="22"/>
              </w:rPr>
              <w:t>Pre-scheduled; small size; 15,808 shares retained</w:t>
            </w:r>
          </w:p>
        </w:tc>
      </w:tr>
      <w:tr>
        <w:tc>
          <w:tcPr>
            <w:tcW w:type="dxa" w:w="1234"/>
          </w:tcPr>
          <w:p>
            <w:r>
              <w:rPr>
                <w:rFonts w:ascii="Calibri" w:hAnsi="Calibri"/>
                <w:sz w:val="22"/>
              </w:rPr>
              <w:t>Aaron Jagdfeld</w:t>
            </w:r>
          </w:p>
        </w:tc>
        <w:tc>
          <w:tcPr>
            <w:tcW w:type="dxa" w:w="1234"/>
          </w:tcPr>
          <w:p>
            <w:r>
              <w:rPr>
                <w:rFonts w:ascii="Calibri" w:hAnsi="Calibri"/>
                <w:sz w:val="22"/>
              </w:rPr>
              <w:t>CEO &amp; Director</w:t>
            </w:r>
          </w:p>
        </w:tc>
        <w:tc>
          <w:tcPr>
            <w:tcW w:type="dxa" w:w="1234"/>
          </w:tcPr>
          <w:p>
            <w:r>
              <w:rPr>
                <w:rFonts w:ascii="Calibri" w:hAnsi="Calibri"/>
                <w:sz w:val="22"/>
              </w:rPr>
              <w:t>10b5-1 Planned Sale</w:t>
            </w:r>
          </w:p>
        </w:tc>
        <w:tc>
          <w:tcPr>
            <w:tcW w:type="dxa" w:w="1234"/>
          </w:tcPr>
          <w:p>
            <w:r>
              <w:rPr>
                <w:rFonts w:ascii="Calibri" w:hAnsi="Calibri"/>
                <w:sz w:val="22"/>
              </w:rPr>
              <w:t>5,000</w:t>
            </w:r>
          </w:p>
        </w:tc>
        <w:tc>
          <w:tcPr>
            <w:tcW w:type="dxa" w:w="1234"/>
          </w:tcPr>
          <w:p>
            <w:r>
              <w:rPr>
                <w:rFonts w:ascii="Calibri" w:hAnsi="Calibri"/>
                <w:sz w:val="22"/>
              </w:rPr>
              <w:t>~$1.4M</w:t>
            </w:r>
          </w:p>
        </w:tc>
        <w:tc>
          <w:tcPr>
            <w:tcW w:type="dxa" w:w="1234"/>
          </w:tcPr>
          <w:p>
            <w:r>
              <w:rPr>
                <w:rFonts w:ascii="Calibri" w:hAnsi="Calibri"/>
                <w:sz w:val="22"/>
              </w:rPr>
              <w:t>June 1, 2026</w:t>
            </w:r>
          </w:p>
        </w:tc>
        <w:tc>
          <w:tcPr>
            <w:tcW w:type="dxa" w:w="1234"/>
          </w:tcPr>
          <w:p>
            <w:r>
              <w:rPr>
                <w:rFonts w:ascii="Calibri" w:hAnsi="Calibri"/>
                <w:sz w:val="22"/>
              </w:rPr>
              <w:t>Pre-scheduled; 2nd consecutive monthly sale of 5,000 shares; 564,528 shares retained</w:t>
            </w:r>
          </w:p>
        </w:tc>
      </w:tr>
      <w:tr>
        <w:tc>
          <w:tcPr>
            <w:tcW w:type="dxa" w:w="1234"/>
          </w:tcPr>
          <w:p>
            <w:r>
              <w:rPr>
                <w:rFonts w:ascii="Calibri" w:hAnsi="Calibri"/>
                <w:sz w:val="22"/>
              </w:rPr>
              <w:t>Aaron Jagdfeld</w:t>
            </w:r>
          </w:p>
        </w:tc>
        <w:tc>
          <w:tcPr>
            <w:tcW w:type="dxa" w:w="1234"/>
          </w:tcPr>
          <w:p>
            <w:r>
              <w:rPr>
                <w:rFonts w:ascii="Calibri" w:hAnsi="Calibri"/>
                <w:sz w:val="22"/>
              </w:rPr>
              <w:t>CEO &amp; Director</w:t>
            </w:r>
          </w:p>
        </w:tc>
        <w:tc>
          <w:tcPr>
            <w:tcW w:type="dxa" w:w="1234"/>
          </w:tcPr>
          <w:p>
            <w:r>
              <w:rPr>
                <w:rFonts w:ascii="Calibri" w:hAnsi="Calibri"/>
                <w:sz w:val="22"/>
              </w:rPr>
              <w:t>10b5-1 Planned Sale</w:t>
            </w:r>
          </w:p>
        </w:tc>
        <w:tc>
          <w:tcPr>
            <w:tcW w:type="dxa" w:w="1234"/>
          </w:tcPr>
          <w:p>
            <w:r>
              <w:rPr>
                <w:rFonts w:ascii="Calibri" w:hAnsi="Calibri"/>
                <w:sz w:val="22"/>
              </w:rPr>
              <w:t>5,000</w:t>
            </w:r>
          </w:p>
        </w:tc>
        <w:tc>
          <w:tcPr>
            <w:tcW w:type="dxa" w:w="1234"/>
          </w:tcPr>
          <w:p>
            <w:r>
              <w:rPr>
                <w:rFonts w:ascii="Calibri" w:hAnsi="Calibri"/>
                <w:sz w:val="22"/>
              </w:rPr>
              <w:t>~$1.3M</w:t>
            </w:r>
          </w:p>
        </w:tc>
        <w:tc>
          <w:tcPr>
            <w:tcW w:type="dxa" w:w="1234"/>
          </w:tcPr>
          <w:p>
            <w:r>
              <w:rPr>
                <w:rFonts w:ascii="Calibri" w:hAnsi="Calibri"/>
                <w:sz w:val="22"/>
              </w:rPr>
              <w:t>May 1, 2026</w:t>
            </w:r>
          </w:p>
        </w:tc>
        <w:tc>
          <w:tcPr>
            <w:tcW w:type="dxa" w:w="1234"/>
          </w:tcPr>
          <w:p>
            <w:r>
              <w:rPr>
                <w:rFonts w:ascii="Calibri" w:hAnsi="Calibri"/>
                <w:sz w:val="22"/>
              </w:rPr>
              <w:t>Pre-scheduled; first sale post-Q1 earnings; 569,528 shares retained</w:t>
            </w:r>
          </w:p>
        </w:tc>
      </w:tr>
    </w:tbl>
    <w:p>
      <w:r>
        <w:rPr>
          <w:rFonts w:ascii="Calibri" w:hAnsi="Calibri"/>
          <w:b/>
          <w:color w:val="525866"/>
          <w:sz w:val="22"/>
        </w:rPr>
        <w:t xml:space="preserve">Source: SEC Form 4 Filings. </w:t>
      </w:r>
      <w:r>
        <w:rPr>
          <w:rFonts w:ascii="Calibri" w:hAnsi="Calibri"/>
          <w:color w:val="525866"/>
          <w:sz w:val="22"/>
        </w:rPr>
        <w:t>All transactions are pre-scheduled 10b5-1 planned sales. CEO Jagdfeld has sold 5,000 shares on the first of each month since May 2026, a consistent and predictable pattern that carries no incremental informational signal about management's view of Q2 results. Jagdfeld retains a substantial position of ~559,528 shares (~$109M at current prices), representing strong ongoing alignment with shareholders. No open-market discretionary buys or sells were filed in the period.</w:t>
      </w:r>
    </w:p>
    <w:p>
      <w:r>
        <w:br w:type="page"/>
      </w:r>
    </w:p>
    <w:p>
      <w:pPr>
        <w:pStyle w:val="Heading1"/>
        <w:pBdr>
          <w:bottom w:val="single" w:sz="4" w:space="1" w:color="FB9120"/>
        </w:pBdr>
      </w:pPr>
      <w:r>
        <w:rPr>
          <w:rFonts w:ascii="Calibri" w:hAnsi="Calibri"/>
          <w:b/>
          <w:color w:val="3B4259"/>
          <w:sz w:val="40"/>
        </w:rPr>
        <w:t>9. Key Risks &amp; Considerations</w:t>
      </w:r>
    </w:p>
    <w:p>
      <w:pPr>
        <w:pStyle w:val="ListBullet"/>
        <w:ind w:left="360" w:hanging="360"/>
      </w:pPr>
      <w:r>
        <w:rPr>
          <w:rFonts w:ascii="Calibri" w:hAnsi="Calibri"/>
          <w:b/>
          <w:color w:val="525866"/>
          <w:sz w:val="22"/>
        </w:rPr>
        <w:t>Hyperscale Vendor Approval Delay (High Impact):</w:t>
      </w:r>
      <w:r>
        <w:rPr>
          <w:rFonts w:ascii="Calibri" w:hAnsi="Calibri"/>
          <w:color w:val="525866"/>
          <w:sz w:val="22"/>
        </w:rPr>
        <w:t xml:space="preserve"> Management has described the formal hyperscale vendor approval as "99 yards of the way done" since the Q1 call. Any further delay or ambiguity on the Q2 call would likely extend the stock's de-rating, as the market has been pricing in imminent approval since April. A binding agreement announcement would be the single largest positive catalyst.</w:t>
      </w:r>
    </w:p>
    <w:p>
      <w:pPr>
        <w:pStyle w:val="ListBullet"/>
        <w:ind w:left="360" w:hanging="360"/>
      </w:pPr>
      <w:r>
        <w:rPr>
          <w:rFonts w:ascii="Calibri" w:hAnsi="Calibri"/>
          <w:b/>
          <w:color w:val="525866"/>
          <w:sz w:val="22"/>
        </w:rPr>
        <w:t>Outage Environment Dependency for Residential (Medium Impact):</w:t>
      </w:r>
      <w:r>
        <w:rPr>
          <w:rFonts w:ascii="Calibri" w:hAnsi="Calibri"/>
          <w:color w:val="525866"/>
          <w:sz w:val="22"/>
        </w:rPr>
        <w:t xml:space="preserve"> GNRC's residential guidance assumes a return to a "more normal baseline average power outage environment" in H2 2026. Q1 outage activity was approximately in line with the long-term average, but Q3–Q4 2025 saw the lowest outage activity since 2015. If H2 2026 outage activity disappoints again, residential revenue and margins could fall short of the +10% growth target.</w:t>
      </w:r>
    </w:p>
    <w:p>
      <w:pPr>
        <w:pStyle w:val="ListBullet"/>
        <w:ind w:left="360" w:hanging="360"/>
      </w:pPr>
      <w:r>
        <w:rPr>
          <w:rFonts w:ascii="Calibri" w:hAnsi="Calibri"/>
          <w:b/>
          <w:color w:val="525866"/>
          <w:sz w:val="22"/>
        </w:rPr>
        <w:t>Tariff and Input Cost Uncertainty (Medium Impact):</w:t>
      </w:r>
      <w:r>
        <w:rPr>
          <w:rFonts w:ascii="Calibri" w:hAnsi="Calibri"/>
          <w:color w:val="525866"/>
          <w:sz w:val="22"/>
        </w:rPr>
        <w:t xml:space="preserve"> GNRC's guidance assumes IEEPA tariff removal is fully offset by new Section 122/232/301 tariffs, maintaining overall tariff rates consistent with prior guidance. However, the trade policy landscape remains dynamic, and Carrier's Q2 experience (tariffs net negative to margins) suggests timing mismatches between tariff implementation and pricing recovery can create near-term headwinds. GNRC's guidance explicitly excludes any potential tariff recovery upside.</w:t>
      </w:r>
    </w:p>
    <w:p>
      <w:pPr>
        <w:pStyle w:val="ListBullet"/>
        <w:ind w:left="360" w:hanging="360"/>
      </w:pPr>
      <w:r>
        <w:rPr>
          <w:rFonts w:ascii="Calibri" w:hAnsi="Calibri"/>
          <w:b/>
          <w:color w:val="525866"/>
          <w:sz w:val="22"/>
        </w:rPr>
        <w:t>Sussex Facility Ramp Execution Risk (Medium Impact):</w:t>
      </w:r>
      <w:r>
        <w:rPr>
          <w:rFonts w:ascii="Calibri" w:hAnsi="Calibri"/>
          <w:color w:val="525866"/>
          <w:sz w:val="22"/>
        </w:rPr>
        <w:t xml:space="preserve"> Management is attempting to pull forward Sussex production from Q4 to Q3 2026. Any delays in facility ramp, equipment qualification, or supply chain readiness (alternators, cooling packages, engine supply) could push large megawatt generator shipments into Q4 or 2027, creating a revenue timing risk.</w:t>
      </w:r>
    </w:p>
    <w:p>
      <w:pPr>
        <w:pStyle w:val="ListBullet"/>
        <w:ind w:left="360" w:hanging="360"/>
      </w:pPr>
      <w:r>
        <w:rPr>
          <w:rFonts w:ascii="Calibri" w:hAnsi="Calibri"/>
          <w:b/>
          <w:color w:val="525866"/>
          <w:sz w:val="22"/>
        </w:rPr>
        <w:t>C&amp;I Margin Dilution from Data Center Mix (Low-Medium Impact):</w:t>
      </w:r>
      <w:r>
        <w:rPr>
          <w:rFonts w:ascii="Calibri" w:hAnsi="Calibri"/>
          <w:color w:val="525866"/>
          <w:sz w:val="22"/>
        </w:rPr>
        <w:t xml:space="preserve"> C&amp;I segment adjusted EBITDA margin was 13.0% in Q1 2026, below the company average. Management expects C&amp;I margins to reach mid-to-high teens by 2028 as data center scale drives operating leverage, but near-term margin dilution from the data center ramp (bespoke products, higher engineering content, Enercon integration costs) could weigh on consolidated margins.</w:t>
      </w:r>
    </w:p>
    <w:p>
      <w:pPr>
        <w:pStyle w:val="ListBullet"/>
        <w:ind w:left="360" w:hanging="360"/>
      </w:pPr>
      <w:r>
        <w:rPr>
          <w:rFonts w:ascii="Calibri" w:hAnsi="Calibri"/>
          <w:b/>
          <w:color w:val="525866"/>
          <w:sz w:val="22"/>
        </w:rPr>
        <w:t>Residential Energy Technology (ecobee/Solar/Storage) Profitability Timeline (Low Impact):</w:t>
      </w:r>
      <w:r>
        <w:rPr>
          <w:rFonts w:ascii="Calibri" w:hAnsi="Calibri"/>
          <w:color w:val="525866"/>
          <w:sz w:val="22"/>
        </w:rPr>
        <w:t xml:space="preserve"> The 2027 breakeven timeline for residential energy technology remains intact, but the segment faces an "air pocket" in demand through 2026 and into 2027 following the completion of the Puerto Rico DOE program and reduced solar incentives. Any further deterioration in the energy technology market could push the breakeven timeline out.</w:t>
      </w:r>
    </w:p>
    <w:p>
      <w:pPr>
        <w:pStyle w:val="ListBullet"/>
        <w:ind w:left="360" w:hanging="360"/>
      </w:pPr>
      <w:r>
        <w:rPr>
          <w:rFonts w:ascii="Calibri" w:hAnsi="Calibri"/>
          <w:b/>
          <w:color w:val="525866"/>
          <w:sz w:val="22"/>
        </w:rPr>
        <w:t>Data Center Market Concentration Risk (Low-Medium Impact):</w:t>
      </w:r>
      <w:r>
        <w:rPr>
          <w:rFonts w:ascii="Calibri" w:hAnsi="Calibri"/>
          <w:color w:val="525866"/>
          <w:sz w:val="22"/>
        </w:rPr>
        <w:t xml:space="preserve"> GNRC's C&amp;I growth is increasingly concentrated in a small number of hyperscale customers. While the $700M+ backlog provides near-term visibility, any slowdown in hyperscale AI infrastructure spending (e.g., due to regulatory changes, technology shifts, or capital allocation pivots) could create a significant revenue air pocket in 2027–2028.</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