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rmn-earnings-predictions--2026-07-29"/>
    <w:p>
      <w:pPr>
        <w:pStyle w:val="Heading1"/>
      </w:pPr>
      <w:r>
        <w:t xml:space="preserve">GRMN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GRMN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~$1.97B vs. cons $1.93B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GRMN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Pro Forma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~$2.40 vs. cons $2.28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GRMN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Operating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~26.0% vs. cons 25.3%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GRMN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~$8.05B vs. cons $7.95B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GRMN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Pro Forma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~$9.60 vs. cons $9.45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GRMN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Auto OEM FY2026 Segment Revenue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~-8% vs. cons -6%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GRMN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GRMN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-1.3% (FADE)</w:t>
            </w:r>
          </w:p>
        </w:tc>
        <w:tc>
          <w:tcPr/>
          <w:p>
            <w:pPr>
              <w:pStyle w:val="Compact"/>
            </w:pPr>
            <w:r>
              <w:t xml:space="preserve">Stock has already run +7.5% into the print (plus M&amp;A pop) and sits near ATH, so even a beat-and-modest-raise is largely priced in — echoing the Q1'26 print where a double-digit EPS beat still produced a -3.7% day-1 move because guidance wasn't raised enough relative to a stretched multiple. Tougher H2 comps, a still-declining Auto OEM segment, and management's own flag that tariff/component cost pressure 'will start to appear more in 2027' cap how much full-year estimates can move up even after a Q2 beat, so any initial pop is likely to fade over the following days as analysts model conservative H2 assumptions rather than extrapolate the beat forward (a repeat of the Feb'26 blowout-then-continued-rally scenario would require an unambiguous raise plus reacceleration in Outdoor, which is a lower-probability outcome here).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2026-07-29T01:02:40Z</dcterms:created>
  <dcterms:modified xsi:type="dcterms:W3CDTF">2026-07-29T01:02:40Z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