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8a892ca9b7b08a7b588924b49f91db465acc48b"/>
    <w:p>
      <w:pPr>
        <w:pStyle w:val="Heading1"/>
      </w:pPr>
      <w:r>
        <w:t xml:space="preserve">Garmin Ltd. (GRMN) — Q2 2026 Earnings Preview</w:t>
      </w:r>
    </w:p>
    <w:p>
      <w:pPr>
        <w:pStyle w:val="FirstParagraph"/>
      </w:pPr>
      <w:r>
        <w:rPr>
          <w:b/>
          <w:bCs/>
        </w:rPr>
        <w:t xml:space="preserve">Report date:</w:t>
      </w:r>
      <w:r>
        <w:t xml:space="preserve"> </w:t>
      </w:r>
      <w:r>
        <w:t xml:space="preserve">July 29, 2026 (before market open) |</w:t>
      </w:r>
      <w:r>
        <w:t xml:space="preserve"> </w:t>
      </w:r>
      <w:r>
        <w:rPr>
          <w:b/>
          <w:bCs/>
        </w:rPr>
        <w:t xml:space="preserve">Call:</w:t>
      </w:r>
      <w:r>
        <w:t xml:space="preserve"> </w:t>
      </w:r>
      <w:r>
        <w:t xml:space="preserve">10:30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Garmin heads into tomorrow's report on a hot streak. The stock closed at</w:t>
      </w:r>
      <w:r>
        <w:t xml:space="preserve"> </w:t>
      </w:r>
      <w:r>
        <w:rPr>
          <w:b/>
          <w:bCs/>
        </w:rPr>
        <w:t xml:space="preserve">$253.69</w:t>
      </w:r>
      <w:r>
        <w:t xml:space="preserve"> </w:t>
      </w:r>
      <w:r>
        <w:t xml:space="preserve">on July 28, up from roughly $211 a year ago and not far off its April 2026 all-time high near $267. Sentiment has been buoyed by three consecutive quarters of double-digit growth and margin expansion, a raised dividend, a new buyback authorization, and — just last week — a bolt-on acquisition in the fitness/coaching space. But investors should note that Garmin's stock has been anything but calm around earnings: shares jumped double digits after the January-quarter beat in February 2026, but plunged as much as 11% the day after Q3 2025 results when</w:t>
      </w:r>
      <w:r>
        <w:t xml:space="preserve"> </w:t>
      </w:r>
      <w:r>
        <w:rPr>
          <w:b/>
          <w:bCs/>
        </w:rPr>
        <w:t xml:space="preserve">revenue missed estimates by roughly $30 million even though EPS was in line, and gross/operating margins contracted year-over-year</w:t>
      </w:r>
      <w:r>
        <w:t xml:space="preserve">. That history is a reminder that this print is a "beat-the-number-and-margins" story as much as a top-line story.</w:t>
      </w:r>
    </w:p>
    <w:bookmarkEnd w:id="9"/>
    <w:bookmarkStart w:id="10" w:name="what-consensus-expects"/>
    <w:p>
      <w:pPr>
        <w:pStyle w:val="Heading2"/>
      </w:pPr>
      <w:r>
        <w:t xml:space="preserve">What Consensus Expects</w:t>
      </w:r>
    </w:p>
    <w:p>
      <w:pPr>
        <w:pStyle w:val="FirstParagraph"/>
      </w:pPr>
      <w:r>
        <w:t xml:space="preserve">Wall Street is looking for a meaningful deceleration from the blistering growth of the first half of 2025's comps:</w:t>
      </w:r>
    </w:p>
    <w:p>
      <w:pPr>
        <w:pStyle w:val="Compact"/>
        <w:numPr>
          <w:ilvl w:val="0"/>
          <w:numId w:val="1001"/>
        </w:numPr>
      </w:pPr>
      <w:r>
        <w:rPr>
          <w:b/>
          <w:bCs/>
        </w:rPr>
        <w:t xml:space="preserve">EPS:</w:t>
      </w:r>
      <w:r>
        <w:t xml:space="preserve"> </w:t>
      </w:r>
      <w:r>
        <w:t xml:space="preserve">consensus sits around</w:t>
      </w:r>
      <w:r>
        <w:t xml:space="preserve"> </w:t>
      </w:r>
      <m:oMath>
        <m:r>
          <m:t>2.27</m:t>
        </m:r>
        <m:r>
          <m:rPr>
            <m:sty m:val="p"/>
          </m:rPr>
          <m:t>–</m:t>
        </m:r>
      </m:oMath>
      <w:r>
        <w:rPr>
          <w:b/>
          <w:bCs/>
        </w:rPr>
        <w:t xml:space="preserve">2.29</w:t>
      </w:r>
      <w:r>
        <w:t xml:space="preserve"> </w:t>
      </w:r>
      <w:r>
        <w:t xml:space="preserve">pro forma, roughly 4–5% above the $2.17 pro forma EPS Garmin posted in Q2 2025.</w:t>
      </w:r>
    </w:p>
    <w:p>
      <w:pPr>
        <w:pStyle w:val="Compact"/>
        <w:numPr>
          <w:ilvl w:val="0"/>
          <w:numId w:val="1001"/>
        </w:numPr>
      </w:pPr>
      <w:r>
        <w:rPr>
          <w:b/>
          <w:bCs/>
        </w:rPr>
        <w:t xml:space="preserve">Revenue:</w:t>
      </w:r>
      <w:r>
        <w:t xml:space="preserve"> </w:t>
      </w:r>
      <w:r>
        <w:t xml:space="preserve">consensus of roughly</w:t>
      </w:r>
      <w:r>
        <w:t xml:space="preserve"> </w:t>
      </w:r>
      <w:r>
        <w:rPr>
          <w:b/>
          <w:bCs/>
        </w:rPr>
        <w:t xml:space="preserve">$1.93 billion</w:t>
      </w:r>
      <w:r>
        <w:t xml:space="preserve">, about 6.4% above last year's $1.815 billion.</w:t>
      </w:r>
    </w:p>
    <w:p>
      <w:pPr>
        <w:pStyle w:val="Compact"/>
        <w:numPr>
          <w:ilvl w:val="0"/>
          <w:numId w:val="1001"/>
        </w:numPr>
      </w:pPr>
      <w:r>
        <w:t xml:space="preserve">Garmin has now beaten consensus EPS for four straight quarters, most recently topping estimates by over 13% in Q1 2026, so there is a real possibility of another upside surprise — but the bar on revenue growth has been the more common miss point (see Q3 2025 above).</w:t>
      </w:r>
    </w:p>
    <w:p>
      <w:pPr>
        <w:pStyle w:val="FirstParagraph"/>
      </w:pPr>
      <w:r>
        <w:t xml:space="preserve">Sell-side sentiment is mixed: some trackers show a consensus "Hold" with price targets in the high-</w:t>
      </w:r>
      <m:oMath>
        <m:r>
          <m:t>250</m:t>
        </m:r>
        <m:r>
          <m:t>s</m:t>
        </m:r>
        <m:r>
          <m:t>t</m:t>
        </m:r>
        <m:r>
          <m:t>o</m:t>
        </m:r>
        <m:r>
          <m:t>h</m:t>
        </m:r>
        <m:r>
          <m:t>i</m:t>
        </m:r>
        <m:r>
          <m:t>g</m:t>
        </m:r>
        <m:r>
          <m:t>h</m:t>
        </m:r>
        <m:r>
          <m:rPr>
            <m:sty m:val="p"/>
          </m:rPr>
          <m:t>−</m:t>
        </m:r>
      </m:oMath>
      <w:r>
        <w:t xml:space="preserve">260s (essentially in line with or modestly above the current price), while other aggregations show a "Buy" lean with targets ranging from $208 to $320. Either way, the stock is not obviously cheap relative to near-term estimates, which raises the stakes for guidance commentary.</w:t>
      </w:r>
    </w:p>
    <w:bookmarkEnd w:id="10"/>
    <w:bookmarkStart w:id="11" w:name="X52a818aab006fc386beecd0826798beb41e053a"/>
    <w:p>
      <w:pPr>
        <w:pStyle w:val="Heading2"/>
      </w:pPr>
      <w:r>
        <w:t xml:space="preserve">The Base Case: What Q2 2025 and Q1 2026 Tell Us</w:t>
      </w:r>
    </w:p>
    <w:p>
      <w:pPr>
        <w:pStyle w:val="FirstParagraph"/>
      </w:pPr>
      <w:r>
        <w:rPr>
          <w:b/>
          <w:bCs/>
        </w:rPr>
        <w:t xml:space="preserve">Q2 2025 comp (the bar to clear):</w:t>
      </w:r>
      <w:r>
        <w:t xml:space="preserve"> </w:t>
      </w:r>
      <w:r>
        <w:t xml:space="preserve">Garmin posted record revenue of $1.815 billion (+20% y/y), with gross margin of 58.8% and operating margin of 26.0% (up from 22.7% a year earlier), and pro forma EPS of $2.17 (+37%). Every segment grew double digits: Fitness +41% to $605M, Outdoor +11% to $490M, Aviation +14% to $249M, Marine +10% to $299M, and Auto OEM +16% to $170M. That is a tough comp, which is exactly why consensus is only modeling high-single-digit revenue growth this quarter.</w:t>
      </w:r>
    </w:p>
    <w:p>
      <w:pPr>
        <w:pStyle w:val="BodyText"/>
      </w:pPr>
      <w:r>
        <w:rPr>
          <w:b/>
          <w:bCs/>
        </w:rPr>
        <w:t xml:space="preserve">Q1 2026 (the most recent data point):</w:t>
      </w:r>
      <w:r>
        <w:t xml:space="preserve"> </w:t>
      </w:r>
      <w:r>
        <w:t xml:space="preserve">Garmin delivered a strong start to the year — revenue of $1.753 billion (+14%), gross margin 59.4%, operating margin 24.6%, and pro forma EPS of $2.08 (+29%), beating consensus by double digits. Segment trends to carry into Q2:</w:t>
      </w:r>
    </w:p>
    <w:p>
      <w:pPr>
        <w:pStyle w:val="Compact"/>
        <w:numPr>
          <w:ilvl w:val="0"/>
          <w:numId w:val="1002"/>
        </w:numPr>
      </w:pPr>
      <w:r>
        <w:rPr>
          <w:b/>
          <w:bCs/>
        </w:rPr>
        <w:t xml:space="preserve">Fitness</w:t>
      </w:r>
      <w:r>
        <w:t xml:space="preserve"> </w:t>
      </w:r>
      <w:r>
        <w:t xml:space="preserve">(+42% in Q1) remains the standout — management has flagged it as "the strongest contributor to 2026 consolidated growth," driven by broad-based wearable demand at both entry and premium price points.</w:t>
      </w:r>
    </w:p>
    <w:p>
      <w:pPr>
        <w:pStyle w:val="Compact"/>
        <w:numPr>
          <w:ilvl w:val="0"/>
          <w:numId w:val="1002"/>
        </w:numPr>
      </w:pPr>
      <w:r>
        <w:rPr>
          <w:b/>
          <w:bCs/>
        </w:rPr>
        <w:t xml:space="preserve">Outdoor</w:t>
      </w:r>
      <w:r>
        <w:t xml:space="preserve"> </w:t>
      </w:r>
      <w:r>
        <w:t xml:space="preserve">fell 5% in Q1 against a tough Instinct 3 launch comp, and management explicitly guided that</w:t>
      </w:r>
      <w:r>
        <w:t xml:space="preserve"> </w:t>
      </w:r>
      <w:r>
        <w:rPr>
          <w:b/>
          <w:bCs/>
        </w:rPr>
        <w:t xml:space="preserve">"second quarter outdoor performance [would be] similar to that of Q1,"</w:t>
      </w:r>
      <w:r>
        <w:t xml:space="preserve"> </w:t>
      </w:r>
      <w:r>
        <w:t xml:space="preserve">with a stronger back half tied to the timing of new product launches.</w:t>
      </w:r>
    </w:p>
    <w:p>
      <w:pPr>
        <w:pStyle w:val="Compact"/>
        <w:numPr>
          <w:ilvl w:val="0"/>
          <w:numId w:val="1002"/>
        </w:numPr>
      </w:pPr>
      <w:r>
        <w:rPr>
          <w:b/>
          <w:bCs/>
        </w:rPr>
        <w:t xml:space="preserve">Aviation</w:t>
      </w:r>
      <w:r>
        <w:t xml:space="preserve"> </w:t>
      </w:r>
      <w:r>
        <w:t xml:space="preserve">grew 18% in Q1, with management expecting</w:t>
      </w:r>
      <w:r>
        <w:t xml:space="preserve"> </w:t>
      </w:r>
      <w:r>
        <w:rPr>
          <w:b/>
          <w:bCs/>
        </w:rPr>
        <w:t xml:space="preserve">"solid growth throughout the remainder of the year,"</w:t>
      </w:r>
      <w:r>
        <w:t xml:space="preserve"> </w:t>
      </w:r>
      <w:r>
        <w:t xml:space="preserve">driven by both OEM and aftermarket demand and a still-healthy aircraft order backlog.</w:t>
      </w:r>
    </w:p>
    <w:p>
      <w:pPr>
        <w:pStyle w:val="Compact"/>
        <w:numPr>
          <w:ilvl w:val="0"/>
          <w:numId w:val="1002"/>
        </w:numPr>
      </w:pPr>
      <w:r>
        <w:rPr>
          <w:b/>
          <w:bCs/>
        </w:rPr>
        <w:t xml:space="preserve">Marine</w:t>
      </w:r>
      <w:r>
        <w:t xml:space="preserve"> </w:t>
      </w:r>
      <w:r>
        <w:t xml:space="preserve">grew 11% in Q1, and management said the segment is "on track to achieve growth consistent with the prior year" (Marine grew 10% for full-year 2025).</w:t>
      </w:r>
    </w:p>
    <w:p>
      <w:pPr>
        <w:pStyle w:val="Compact"/>
        <w:numPr>
          <w:ilvl w:val="0"/>
          <w:numId w:val="1002"/>
        </w:numPr>
      </w:pPr>
      <w:r>
        <w:rPr>
          <w:b/>
          <w:bCs/>
        </w:rPr>
        <w:t xml:space="preserve">Auto OEM</w:t>
      </w:r>
      <w:r>
        <w:t xml:space="preserve"> </w:t>
      </w:r>
      <w:r>
        <w:t xml:space="preserve">was roughly flat in Q1 (+1%) as new infotainment programs offset BMW's peak-and-decline phase; management continues to guide</w:t>
      </w:r>
      <w:r>
        <w:t xml:space="preserve"> </w:t>
      </w:r>
      <w:r>
        <w:rPr>
          <w:b/>
          <w:bCs/>
        </w:rPr>
        <w:t xml:space="preserve">full-year 2026 Auto OEM revenue lower</w:t>
      </w:r>
      <w:r>
        <w:t xml:space="preserve"> </w:t>
      </w:r>
      <w:r>
        <w:t xml:space="preserve">as BMW volumes roll off and legacy programs sunset, with the narrower operating loss persisting until the Mercedes-Benz domain-controller program ramps starting in 2027.</w:t>
      </w:r>
    </w:p>
    <w:bookmarkEnd w:id="11"/>
    <w:bookmarkStart w:id="12" w:name="full-year-2026-guidance--the-real-focus"/>
    <w:p>
      <w:pPr>
        <w:pStyle w:val="Heading2"/>
      </w:pPr>
      <w:r>
        <w:t xml:space="preserve">Full-Year 2026 Guidance — The Real Focus</w:t>
      </w:r>
    </w:p>
    <w:p>
      <w:pPr>
        <w:pStyle w:val="FirstParagraph"/>
      </w:pPr>
      <w:r>
        <w:t xml:space="preserve">Garmin's formal FY2026 guidance, issued in February and reaffirmed at Q1, calls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FY2026 Guide</w:t>
            </w:r>
          </w:p>
        </w:tc>
      </w:tr>
      <w:tr>
        <w:tc>
          <w:tcPr/>
          <w:p>
            <w:pPr>
              <w:pStyle w:val="Compact"/>
            </w:pPr>
            <w:r>
              <w:t xml:space="preserve">Revenue</w:t>
            </w:r>
          </w:p>
        </w:tc>
        <w:tc>
          <w:tcPr/>
          <w:p>
            <w:pPr>
              <w:pStyle w:val="Compact"/>
            </w:pPr>
            <w:r>
              <w:t xml:space="preserve">~$7.9B (+9% y/y)</w:t>
            </w:r>
          </w:p>
        </w:tc>
      </w:tr>
      <w:tr>
        <w:tc>
          <w:tcPr/>
          <w:p>
            <w:pPr>
              <w:pStyle w:val="Compact"/>
            </w:pPr>
            <w:r>
              <w:t xml:space="preserve">Gross margin</w:t>
            </w:r>
          </w:p>
        </w:tc>
        <w:tc>
          <w:tcPr/>
          <w:p>
            <w:pPr>
              <w:pStyle w:val="Compact"/>
            </w:pPr>
            <w:r>
              <w:t xml:space="preserve">~58.5%</w:t>
            </w:r>
          </w:p>
        </w:tc>
      </w:tr>
      <w:tr>
        <w:tc>
          <w:tcPr/>
          <w:p>
            <w:pPr>
              <w:pStyle w:val="Compact"/>
            </w:pPr>
            <w:r>
              <w:t xml:space="preserve">Operating margin</w:t>
            </w:r>
          </w:p>
        </w:tc>
        <w:tc>
          <w:tcPr/>
          <w:p>
            <w:pPr>
              <w:pStyle w:val="Compact"/>
            </w:pPr>
            <w:r>
              <w:t xml:space="preserve">~25.5%</w:t>
            </w:r>
          </w:p>
        </w:tc>
      </w:tr>
      <w:tr>
        <w:tc>
          <w:tcPr/>
          <w:p>
            <w:pPr>
              <w:pStyle w:val="Compact"/>
            </w:pPr>
            <w:r>
              <w:t xml:space="preserve">Pro forma tax rate</w:t>
            </w:r>
          </w:p>
        </w:tc>
        <w:tc>
          <w:tcPr/>
          <w:p>
            <w:pPr>
              <w:pStyle w:val="Compact"/>
            </w:pPr>
            <w:r>
              <w:t xml:space="preserve">~16.0%</w:t>
            </w:r>
          </w:p>
        </w:tc>
      </w:tr>
      <w:tr>
        <w:tc>
          <w:tcPr/>
          <w:p>
            <w:pPr>
              <w:pStyle w:val="Compact"/>
            </w:pPr>
            <w:r>
              <w:t xml:space="preserve">Pro forma EPS</w:t>
            </w:r>
          </w:p>
        </w:tc>
        <w:tc>
          <w:tcPr/>
          <w:p>
            <w:pPr>
              <w:pStyle w:val="Compact"/>
            </w:pPr>
            <w:r>
              <w:t xml:space="preserve">$9.35</w:t>
            </w:r>
          </w:p>
        </w:tc>
      </w:tr>
    </w:tbl>
    <w:p>
      <w:pPr>
        <w:pStyle w:val="BodyText"/>
      </w:pPr>
      <w:r>
        <w:t xml:space="preserve">Given Garmin has now delivered Q1 revenue/EPS growth well ahead of that implied full-year pace (14%/29% vs. a 9%/roughly high-single-digit full-year plan), the key question for tomorrow is whether management raises guidance — as it did after Q2 2025's blowout (when it lifted FY2025 revenue guidance to ~$7.1B/EPS to $8.00, only to blow past both with actual results of $7.245B revenue and $8.56 pro forma EPS). Management's stated practice is conservatism early in the year and to "maintain guidance issued in February" through Q1, revisiting only "as the year unfolds" — so a Q2 raise, if it comes, would be a meaningful signal of confidence.</w:t>
      </w:r>
    </w:p>
    <w:p>
      <w:pPr>
        <w:pStyle w:val="BodyText"/>
      </w:pPr>
      <w:r>
        <w:rPr>
          <w:b/>
          <w:bCs/>
        </w:rPr>
        <w:t xml:space="preserve">Margin/cost watch items:</w:t>
      </w:r>
    </w:p>
    <w:p>
      <w:pPr>
        <w:pStyle w:val="Compact"/>
        <w:numPr>
          <w:ilvl w:val="0"/>
          <w:numId w:val="1003"/>
        </w:numPr>
      </w:pPr>
      <w:r>
        <w:t xml:space="preserve">Management has said component/tariff cost pressure has been</w:t>
      </w:r>
      <w:r>
        <w:t xml:space="preserve"> </w:t>
      </w:r>
      <w:r>
        <w:rPr>
          <w:b/>
          <w:bCs/>
        </w:rPr>
        <w:t xml:space="preserve">"muted" in 2026</w:t>
      </w:r>
      <w:r>
        <w:t xml:space="preserve"> </w:t>
      </w:r>
      <w:r>
        <w:t xml:space="preserve">because Garmin is working through safety-stock inventory bought before tariffs took effect, but expects the effect to</w:t>
      </w:r>
      <w:r>
        <w:t xml:space="preserve"> </w:t>
      </w:r>
      <w:r>
        <w:rPr>
          <w:b/>
          <w:bCs/>
        </w:rPr>
        <w:t xml:space="preserve">"start to appear more in 2027"</w:t>
      </w:r>
      <w:r>
        <w:t xml:space="preserve"> </w:t>
      </w:r>
      <w:r>
        <w:t xml:space="preserve">as that inventory rolls off — watch for any change in tone here.</w:t>
      </w:r>
    </w:p>
    <w:p>
      <w:pPr>
        <w:pStyle w:val="Compact"/>
        <w:numPr>
          <w:ilvl w:val="0"/>
          <w:numId w:val="1003"/>
        </w:numPr>
      </w:pPr>
      <w:r>
        <w:t xml:space="preserve">No tariff-refund benefit has been recorded in results to date; any change in that policy stance would be a modest tailwind.</w:t>
      </w:r>
    </w:p>
    <w:p>
      <w:pPr>
        <w:pStyle w:val="Compact"/>
        <w:numPr>
          <w:ilvl w:val="0"/>
          <w:numId w:val="1003"/>
        </w:numPr>
      </w:pPr>
      <w:r>
        <w:t xml:space="preserve">FX has been a modest tailwind to reported growth in EMEA/APAC in recent quarters; the strength (or reversal) of the dollar into Q2 is worth watching for its influence on the print.</w:t>
      </w:r>
    </w:p>
    <w:p>
      <w:pPr>
        <w:pStyle w:val="Compact"/>
        <w:numPr>
          <w:ilvl w:val="0"/>
          <w:numId w:val="1003"/>
        </w:numPr>
      </w:pPr>
      <w:r>
        <w:t xml:space="preserve">Operating expenses have been guided to be roughly flat as a percentage of sales in FY2026 versus FY2025.</w:t>
      </w:r>
    </w:p>
    <w:bookmarkEnd w:id="12"/>
    <w:bookmarkStart w:id="13" w:name="recent-developments-to-ask-about"/>
    <w:p>
      <w:pPr>
        <w:pStyle w:val="Heading2"/>
      </w:pPr>
      <w:r>
        <w:t xml:space="preserve">Recent Developments to Ask About</w:t>
      </w:r>
    </w:p>
    <w:p>
      <w:pPr>
        <w:pStyle w:val="Compact"/>
        <w:numPr>
          <w:ilvl w:val="0"/>
          <w:numId w:val="1004"/>
        </w:numPr>
      </w:pPr>
      <w:r>
        <w:rPr>
          <w:b/>
          <w:bCs/>
        </w:rPr>
        <w:t xml:space="preserve">M&amp;A:</w:t>
      </w:r>
      <w:r>
        <w:t xml:space="preserve"> </w:t>
      </w:r>
      <w:r>
        <w:t xml:space="preserve">On July 22, 2026 — just one week before this report — Garmin announced it had acquired</w:t>
      </w:r>
      <w:r>
        <w:t xml:space="preserve"> </w:t>
      </w:r>
      <w:r>
        <w:rPr>
          <w:b/>
          <w:bCs/>
        </w:rPr>
        <w:t xml:space="preserve">TrainingPeaks and TrainHeroic</w:t>
      </w:r>
      <w:r>
        <w:t xml:space="preserve">, digital coaching/training platforms for endurance and strength athletes, adding roughly 120 employees based in Louisville, Colorado. Financial terms were not disclosed, but the deal fits Garmin's stated strategy of deepening its subscription/software ecosystem (Garmin Connect+, coaching, and messaging features) around its wearables hardware — expect questions on integration plans, monetization, and whether more bolt-on deals are coming.</w:t>
      </w:r>
    </w:p>
    <w:p>
      <w:pPr>
        <w:pStyle w:val="Compact"/>
        <w:numPr>
          <w:ilvl w:val="0"/>
          <w:numId w:val="1004"/>
        </w:numPr>
      </w:pPr>
      <w:r>
        <w:rPr>
          <w:b/>
          <w:bCs/>
        </w:rPr>
        <w:t xml:space="preserve">Competitive dynamics in wearables:</w:t>
      </w:r>
      <w:r>
        <w:t xml:space="preserve"> </w:t>
      </w:r>
      <w:r>
        <w:t xml:space="preserve">On the Q1 call, management addressed the rise of well-funded private wearable challengers pursuing different form factors and subscription/hardware-as-a-service models, framing it as a market-expanding opportunity rather than a threat, while noting Garmin's own push into subscription services (Connect+, inReach, family-of-apps engagement). Expect follow-up on competitive share trends given the wearables category is now Garmin's single largest growth driver.</w:t>
      </w:r>
    </w:p>
    <w:p>
      <w:pPr>
        <w:pStyle w:val="Compact"/>
        <w:numPr>
          <w:ilvl w:val="0"/>
          <w:numId w:val="1004"/>
        </w:numPr>
      </w:pPr>
      <w:r>
        <w:rPr>
          <w:b/>
          <w:bCs/>
        </w:rPr>
        <w:t xml:space="preserve">Auto OEM/Mercedes transition:</w:t>
      </w:r>
      <w:r>
        <w:t xml:space="preserve"> </w:t>
      </w:r>
      <w:r>
        <w:t xml:space="preserve">Investors should listen for updated color on the cadence of the Mercedes-Benz domain-controller ramp (expected to start contributing meaningfully in 2027) and how much further Auto OEM revenue and operating losses narrow before that program scales.</w:t>
      </w:r>
    </w:p>
    <w:bookmarkEnd w:id="13"/>
    <w:bookmarkStart w:id="14" w:name="capital-returns-and-balance-sheet"/>
    <w:p>
      <w:pPr>
        <w:pStyle w:val="Heading2"/>
      </w:pPr>
      <w:r>
        <w:t xml:space="preserve">Capital Returns and Balance Sheet</w:t>
      </w:r>
    </w:p>
    <w:p>
      <w:pPr>
        <w:pStyle w:val="FirstParagraph"/>
      </w:pPr>
      <w:r>
        <w:t xml:space="preserve">Garmin remains a self-funding compounder. As of Q1 2026 quarter-end, the company held</w:t>
      </w:r>
      <w:r>
        <w:t xml:space="preserve"> </w:t>
      </w:r>
      <w:r>
        <w:rPr>
          <w:b/>
          <w:bCs/>
        </w:rPr>
        <w:t xml:space="preserve">~</w:t>
      </w:r>
      <m:oMath>
        <m:r>
          <m:t>4.3</m:t>
        </m:r>
        <m:r>
          <m:t>b</m:t>
        </m:r>
        <m:r>
          <m:t>i</m:t>
        </m:r>
        <m:r>
          <m:t>l</m:t>
        </m:r>
        <m:r>
          <m:t>l</m:t>
        </m:r>
        <m:r>
          <m:t>i</m:t>
        </m:r>
        <m:r>
          <m:t>o</m:t>
        </m:r>
        <m:r>
          <m:t>n</m:t>
        </m:r>
        <m:r>
          <m:t>i</m:t>
        </m:r>
        <m:r>
          <m:t>n</m:t>
        </m:r>
        <m:r>
          <m:t>c</m:t>
        </m:r>
        <m:r>
          <m:t>a</m:t>
        </m:r>
        <m:r>
          <m:t>s</m:t>
        </m:r>
        <m:r>
          <m:t>h</m:t>
        </m:r>
        <m:r>
          <m:t>a</m:t>
        </m:r>
        <m:r>
          <m:t>n</m:t>
        </m:r>
        <m:r>
          <m:t>d</m:t>
        </m:r>
        <m:r>
          <m:t>m</m:t>
        </m:r>
        <m:r>
          <m:t>a</m:t>
        </m:r>
        <m:r>
          <m:t>r</m:t>
        </m:r>
        <m:r>
          <m:t>k</m:t>
        </m:r>
        <m:r>
          <m:t>e</m:t>
        </m:r>
        <m:r>
          <m:t>t</m:t>
        </m:r>
        <m:r>
          <m:t>a</m:t>
        </m:r>
        <m:r>
          <m:t>b</m:t>
        </m:r>
        <m:r>
          <m:t>l</m:t>
        </m:r>
        <m:r>
          <m:t>e</m:t>
        </m:r>
        <m:r>
          <m:t>s</m:t>
        </m:r>
        <m:r>
          <m:t>e</m:t>
        </m:r>
        <m:r>
          <m:t>c</m:t>
        </m:r>
        <m:r>
          <m:t>u</m:t>
        </m:r>
        <m:r>
          <m:t>r</m:t>
        </m:r>
        <m:r>
          <m:t>i</m:t>
        </m:r>
        <m:r>
          <m:t>t</m:t>
        </m:r>
        <m:r>
          <m:t>i</m:t>
        </m:r>
        <m:r>
          <m:t>e</m:t>
        </m:r>
        <m:r>
          <m:t>s</m:t>
        </m:r>
        <m:r>
          <m:rPr>
            <m:sty m:val="p"/>
          </m:rPr>
          <m:t>*</m:t>
        </m:r>
        <m:r>
          <m:rPr>
            <m:sty m:val="p"/>
          </m:rPr>
          <m:t>*</m:t>
        </m:r>
        <m:r>
          <m:rPr>
            <m:sty m:val="p"/>
          </m:rPr>
          <m:t>,</m:t>
        </m:r>
        <m:r>
          <m:t>g</m:t>
        </m:r>
        <m:r>
          <m:t>e</m:t>
        </m:r>
        <m:r>
          <m:t>n</m:t>
        </m:r>
        <m:r>
          <m:t>e</m:t>
        </m:r>
        <m:r>
          <m:t>r</m:t>
        </m:r>
        <m:r>
          <m:t>a</m:t>
        </m:r>
        <m:r>
          <m:t>t</m:t>
        </m:r>
        <m:r>
          <m:t>e</m:t>
        </m:r>
        <m:r>
          <m:t>d</m:t>
        </m:r>
        <m:r>
          <m:rPr>
            <m:sty m:val="p"/>
          </m:rPr>
          <m:t>*</m:t>
        </m:r>
        <m:r>
          <m:rPr>
            <m:sty m:val="p"/>
          </m:rPr>
          <m:t>*</m:t>
        </m:r>
      </m:oMath>
      <w:r>
        <w:rPr>
          <w:b/>
          <w:bCs/>
        </w:rPr>
        <w:t xml:space="preserve">469 million of free cash flow</w:t>
      </w:r>
      <w:r>
        <w:t xml:space="preserve"> </w:t>
      </w:r>
      <w:r>
        <w:t xml:space="preserve">in the quarter (up from $381M a year earlier), and paid a quarterly dividend of $1.05/share (part of a</w:t>
      </w:r>
      <w:r>
        <w:t xml:space="preserve"> </w:t>
      </w:r>
      <m:oMath>
        <m:r>
          <m:t>4.20</m:t>
        </m:r>
        <m:r>
          <m:t>a</m:t>
        </m:r>
        <m:r>
          <m:t>n</m:t>
        </m:r>
        <m:r>
          <m:t>n</m:t>
        </m:r>
        <m:r>
          <m:t>u</m:t>
        </m:r>
        <m:r>
          <m:t>a</m:t>
        </m:r>
        <m:r>
          <m:t>l</m:t>
        </m:r>
        <m:r>
          <m:t>i</m:t>
        </m:r>
        <m:r>
          <m:t>z</m:t>
        </m:r>
        <m:r>
          <m:t>e</m:t>
        </m:r>
        <m:r>
          <m:t>d</m:t>
        </m:r>
        <m:r>
          <m:t>r</m:t>
        </m:r>
        <m:r>
          <m:t>a</m:t>
        </m:r>
        <m:r>
          <m:t>t</m:t>
        </m:r>
        <m:r>
          <m:t>e</m:t>
        </m:r>
        <m:r>
          <m:rPr>
            <m:sty m:val="p"/>
          </m:rPr>
          <m:t>,</m:t>
        </m:r>
        <m:r>
          <m:t>a</m:t>
        </m:r>
        <m:r>
          <m:t>17</m:t>
        </m:r>
      </m:oMath>
      <w:r>
        <w:t xml:space="preserve">500 million buyback authorized through December 2028** ($491M remaining as of Q1-end). None of this is likely to be a surprise, but confirmation of continued buyback pacing and capital-allocation priorities (organic R&amp;D vs. further M&amp;A like TrainingPeaks) will matter for the multiple.</w:t>
      </w:r>
    </w:p>
    <w:bookmarkEnd w:id="14"/>
    <w:bookmarkStart w:id="15" w:name="key-things-to-watch-on-tomorrows-call"/>
    <w:p>
      <w:pPr>
        <w:pStyle w:val="Heading2"/>
      </w:pPr>
      <w:r>
        <w:t xml:space="preserve">Key Things to Watch on Tomorrow's Call</w:t>
      </w:r>
    </w:p>
    <w:p>
      <w:pPr>
        <w:pStyle w:val="Compact"/>
        <w:numPr>
          <w:ilvl w:val="0"/>
          <w:numId w:val="1005"/>
        </w:numPr>
      </w:pPr>
      <w:r>
        <w:rPr>
          <w:b/>
          <w:bCs/>
        </w:rPr>
        <w:t xml:space="preserve">Does management raise FY2026 guidance</w:t>
      </w:r>
      <w:r>
        <w:t xml:space="preserve">, given Q1's outsized beat, or stay conservative given tougher H2 comps and tariff/cost uncertainty?</w:t>
      </w:r>
    </w:p>
    <w:p>
      <w:pPr>
        <w:pStyle w:val="Compact"/>
        <w:numPr>
          <w:ilvl w:val="0"/>
          <w:numId w:val="1005"/>
        </w:numPr>
      </w:pPr>
      <w:r>
        <w:rPr>
          <w:b/>
          <w:bCs/>
        </w:rPr>
        <w:t xml:space="preserve">Fitness segment momentum</w:t>
      </w:r>
      <w:r>
        <w:t xml:space="preserve"> </w:t>
      </w:r>
      <w:r>
        <w:t xml:space="preserve">— can wearable unit growth and share gains continue at a 40%+ clip, or does the growth rate normalize?</w:t>
      </w:r>
    </w:p>
    <w:p>
      <w:pPr>
        <w:pStyle w:val="Compact"/>
        <w:numPr>
          <w:ilvl w:val="0"/>
          <w:numId w:val="1005"/>
        </w:numPr>
      </w:pPr>
      <w:r>
        <w:rPr>
          <w:b/>
          <w:bCs/>
        </w:rPr>
        <w:t xml:space="preserve">Outdoor segment inflection</w:t>
      </w:r>
      <w:r>
        <w:t xml:space="preserve"> </w:t>
      </w:r>
      <w:r>
        <w:t xml:space="preserve">— does the "stronger back half" materialize as new product launches land, turning the segment from a Q1/Q2 drag into a growth contributor?</w:t>
      </w:r>
    </w:p>
    <w:p>
      <w:pPr>
        <w:pStyle w:val="Compact"/>
        <w:numPr>
          <w:ilvl w:val="0"/>
          <w:numId w:val="1005"/>
        </w:numPr>
      </w:pPr>
      <w:r>
        <w:rPr>
          <w:b/>
          <w:bCs/>
        </w:rPr>
        <w:t xml:space="preserve">Margin trajectory</w:t>
      </w:r>
      <w:r>
        <w:t xml:space="preserve"> </w:t>
      </w:r>
      <w:r>
        <w:t xml:space="preserve">— gross/operating margin trend given tariff and component cost commentary, especially any signs that 2027 cost pressures are pulling forward.</w:t>
      </w:r>
    </w:p>
    <w:p>
      <w:pPr>
        <w:pStyle w:val="Compact"/>
        <w:numPr>
          <w:ilvl w:val="0"/>
          <w:numId w:val="1005"/>
        </w:numPr>
      </w:pPr>
      <w:r>
        <w:rPr>
          <w:b/>
          <w:bCs/>
        </w:rPr>
        <w:t xml:space="preserve">Auto OEM trajectory</w:t>
      </w:r>
      <w:r>
        <w:t xml:space="preserve"> </w:t>
      </w:r>
      <w:r>
        <w:t xml:space="preserve">and any incremental detail on Mercedes-Benz program timing/scale.</w:t>
      </w:r>
    </w:p>
    <w:p>
      <w:pPr>
        <w:pStyle w:val="Compact"/>
        <w:numPr>
          <w:ilvl w:val="0"/>
          <w:numId w:val="1005"/>
        </w:numPr>
      </w:pPr>
      <w:r>
        <w:rPr>
          <w:b/>
          <w:bCs/>
        </w:rPr>
        <w:t xml:space="preserve">Integration commentary and strategic rationale</w:t>
      </w:r>
      <w:r>
        <w:t xml:space="preserve"> </w:t>
      </w:r>
      <w:r>
        <w:t xml:space="preserve">for the TrainingPeaks/TrainHeroic acquisition.</w:t>
      </w:r>
    </w:p>
    <w:p>
      <w:pPr>
        <w:pStyle w:val="Compact"/>
        <w:numPr>
          <w:ilvl w:val="0"/>
          <w:numId w:val="1005"/>
        </w:numPr>
      </w:pPr>
      <w:r>
        <w:rPr>
          <w:b/>
          <w:bCs/>
        </w:rPr>
        <w:t xml:space="preserve">Stock reaction risk</w:t>
      </w:r>
      <w:r>
        <w:t xml:space="preserve"> </w:t>
      </w:r>
      <w:r>
        <w:t xml:space="preserve">— given the Q3 2025 experience (EPS in line, revenue miss, margin compression → double-digit share drop), a "beat and raise" narrative on EPS alone may not be sufficient; revenue upside and margin durability will likely matter most to the market's reaction.</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2026-07-29T01:02:40Z</dcterms:created>
  <dcterms:modified xsi:type="dcterms:W3CDTF">2026-07-29T01:02:40Z</dcterms:modified>
</cp:coreProperties>
</file>

<file path=docProps/custom.xml><?xml version="1.0" encoding="utf-8"?>
<Properties xmlns="http://schemas.openxmlformats.org/officeDocument/2006/custom-properties" xmlns:vt="http://schemas.openxmlformats.org/officeDocument/2006/docPropsVTypes"/>
</file>