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garmin-grmn--q2-2026-earnings-preview"/>
    <w:p>
      <w:pPr>
        <w:pStyle w:val="Heading1"/>
      </w:pPr>
      <w:r>
        <w:t xml:space="preserve">Garmin (GRMN) — Q2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Garmin is scheduled to release Q2 results</w:t>
      </w:r>
      <w:r>
        <w:t xml:space="preserve"> </w:t>
      </w:r>
      <w:r>
        <w:rPr>
          <w:b/>
          <w:bCs/>
        </w:rPr>
        <w:t xml:space="preserve">before the market opens today, Wednesday, July 29, 2026</w:t>
      </w:r>
      <w:r>
        <w:t xml:space="preserve">, followed by its earnings call at</w:t>
      </w:r>
      <w:r>
        <w:t xml:space="preserve"> </w:t>
      </w:r>
      <w:r>
        <w:rPr>
          <w:b/>
          <w:bCs/>
        </w:rPr>
        <w:t xml:space="preserve">10:30 a.m. Eastern</w:t>
      </w:r>
      <w:r>
        <w:t xml:space="preserve">. The event is today rather than tomorrow. (</w:t>
      </w:r>
      <w:hyperlink r:id="rId9">
        <w:r>
          <w:rPr>
            <w:rStyle w:val="Hyperlink"/>
          </w:rPr>
          <w:t xml:space="preserve">garmin.com</w:t>
        </w:r>
      </w:hyperlink>
      <w:r>
        <w:t xml:space="preserve">)</w:t>
      </w:r>
    </w:p>
    <w:bookmarkStart w:id="12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Garmin enters the report with strong operating momentum but an elevated bar. Q1 revenue rose 14%, pro forma EPS increased 29%, and both gross and operating margins expanded. Fitness grew 42%, aviation 18%, and marine 11%, offsetting a 5% decline in outdoor. Despite that start, management maintained its original 2026 outlook. (</w:t>
      </w:r>
      <w:hyperlink r:id="rId10">
        <w:r>
          <w:rPr>
            <w:rStyle w:val="Hyperlink"/>
          </w:rPr>
          <w:t xml:space="preserve">s34181.pcdn.co</w:t>
        </w:r>
      </w:hyperlink>
      <w:r>
        <w:t xml:space="preserve">)</w:t>
      </w:r>
    </w:p>
    <w:p>
      <w:pPr>
        <w:pStyle w:val="BodyText"/>
      </w:pPr>
      <w:r>
        <w:t xml:space="preserve">The shares closed at approximately</w:t>
      </w:r>
      <w:r>
        <w:t xml:space="preserve"> </w:t>
      </w:r>
      <w:r>
        <w:rPr>
          <w:b/>
          <w:bCs/>
        </w:rPr>
        <w:t xml:space="preserve">$253.65 on July 28</w:t>
      </w:r>
      <w:r>
        <w:t xml:space="preserve">, up about 25% from year-end 2025 and roughly flat with their level immediately following the Q1 report. At approximately</w:t>
      </w:r>
      <w:r>
        <w:t xml:space="preserve"> </w:t>
      </w:r>
      <w:r>
        <w:rPr>
          <w:b/>
          <w:bCs/>
        </w:rPr>
        <w:t xml:space="preserve">26–27x current 2026 consensus EPS</w:t>
      </w:r>
      <w:r>
        <w:t xml:space="preserve">, the valuation suggests investors will focus less on a small Q2 beat and more on whether Garmin raises its full-year outlook. (</w:t>
      </w:r>
      <w:hyperlink r:id="rId11">
        <w:r>
          <w:rPr>
            <w:rStyle w:val="Hyperlink"/>
          </w:rPr>
          <w:t xml:space="preserve">stockanalysis.com</w:t>
        </w:r>
      </w:hyperlink>
      <w:r>
        <w:t xml:space="preserve">)</w:t>
      </w:r>
    </w:p>
    <w:bookmarkEnd w:id="12"/>
    <w:bookmarkStart w:id="17" w:name="expectations"/>
    <w:p>
      <w:pPr>
        <w:pStyle w:val="Heading2"/>
      </w:pPr>
      <w:r>
        <w:t xml:space="preserve">Expectations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</w:t>
            </w:r>
            <m:oMath>
              <m:r>
                <m:t>1.93</m:t>
              </m:r>
              <m:r>
                <m:rPr>
                  <m:sty m:val="p"/>
                </m:rPr>
                <m:t>–</m:t>
              </m:r>
            </m:oMath>
            <w:r>
              <w:t xml:space="preserve">1.94B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$1.815B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~6–7%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 forma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</w:t>
            </w:r>
            <m:oMath>
              <m:r>
                <m:t>2.27</m:t>
              </m:r>
              <m:r>
                <m:rPr>
                  <m:sty m:val="p"/>
                </m:rPr>
                <m:t>–</m:t>
              </m:r>
            </m:oMath>
            <w:r>
              <w:t xml:space="preserve">2.29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~5–6%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Consensus sources cluster around</w:t>
      </w:r>
      <w:r>
        <w:t xml:space="preserve"> </w:t>
      </w:r>
      <m:oMath>
        <m:r>
          <m:t>1.93</m:t>
        </m:r>
        <m:r>
          <m:rPr>
            <m:sty m:val="p"/>
          </m:rPr>
          <m:t>–</m:t>
        </m:r>
      </m:oMath>
      <w:r>
        <w:t xml:space="preserve">1.94 billion of revenue and</w:t>
      </w:r>
      <w:r>
        <w:t xml:space="preserve"> </w:t>
      </w:r>
      <m:oMath>
        <m:r>
          <m:t>2.27</m:t>
        </m:r>
        <m:r>
          <m:rPr>
            <m:sty m:val="p"/>
          </m:rPr>
          <m:t>–</m:t>
        </m:r>
      </m:oMath>
      <w:r>
        <w:t xml:space="preserve">2.29 of EPS. (</w:t>
      </w:r>
      <w:hyperlink r:id="rId13">
        <w:r>
          <w:rPr>
            <w:rStyle w:val="Hyperlink"/>
          </w:rPr>
          <w:t xml:space="preserve">benzinga.com</w:t>
        </w:r>
      </w:hyperlink>
      <w:r>
        <w:t xml:space="preserve">) Last year’s Q2 was unusually strong: revenue grew 20%, operating income rose 38%, and every segment posted double-digit growth. That creates significantly more difficult comparisons this quarter. (</w:t>
      </w:r>
      <w:hyperlink r:id="rId14">
        <w:r>
          <w:rPr>
            <w:rStyle w:val="Hyperlink"/>
          </w:rPr>
          <w:t xml:space="preserve">www8.garmin.com</w:t>
        </w:r>
      </w:hyperlink>
      <w:r>
        <w:t xml:space="preserve">)</w:t>
      </w:r>
    </w:p>
    <w:p>
      <w:pPr>
        <w:pStyle w:val="BodyText"/>
      </w:pPr>
      <w:r>
        <w:t xml:space="preserve">Garmin’s standing full-year guidance calls for: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approximately $7.9 billion, up 9%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Gross margin:</w:t>
      </w:r>
      <w:r>
        <w:t xml:space="preserve"> </w:t>
      </w:r>
      <w:r>
        <w:t xml:space="preserve">58.5%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Operating margin:</w:t>
      </w:r>
      <w:r>
        <w:t xml:space="preserve"> </w:t>
      </w:r>
      <w:r>
        <w:t xml:space="preserve">25.5%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Pro forma EPS:</w:t>
      </w:r>
      <w:r>
        <w:t xml:space="preserve"> </w:t>
      </w:r>
      <w:r>
        <w:t xml:space="preserve">$9.35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Pro forma tax rate:</w:t>
      </w:r>
      <w:r>
        <w:t xml:space="preserve"> </w:t>
      </w:r>
      <w:r>
        <w:t xml:space="preserve">16.0% (</w:t>
      </w:r>
      <w:hyperlink r:id="rId15">
        <w:r>
          <w:rPr>
            <w:rStyle w:val="Hyperlink"/>
          </w:rPr>
          <w:t xml:space="preserve">garmin.com</w:t>
        </w:r>
      </w:hyperlink>
      <w:r>
        <w:t xml:space="preserve">)</w:t>
      </w:r>
    </w:p>
    <w:p>
      <w:pPr>
        <w:pStyle w:val="FirstParagraph"/>
      </w:pPr>
      <w:r>
        <w:t xml:space="preserve">Current full-year EPS estimates are closer to approximately</w:t>
      </w:r>
      <w:r>
        <w:t xml:space="preserve"> </w:t>
      </w:r>
      <m:oMath>
        <m:r>
          <m:t>9.5</m:t>
        </m:r>
        <m:r>
          <m:rPr>
            <m:sty m:val="p"/>
          </m:rPr>
          <m:t>–</m:t>
        </m:r>
      </m:oMath>
      <w:r>
        <w:rPr>
          <w:b/>
          <w:bCs/>
        </w:rPr>
        <w:t xml:space="preserve">9.6</w:t>
      </w:r>
      <w:r>
        <w:t xml:space="preserve">, meaning at least a modest guidance increase is already embedded in expectations. (</w:t>
      </w:r>
      <w:hyperlink r:id="rId16">
        <w:r>
          <w:rPr>
            <w:rStyle w:val="Hyperlink"/>
          </w:rPr>
          <w:t xml:space="preserve">benzinga.com</w:t>
        </w:r>
      </w:hyperlink>
      <w:r>
        <w:t xml:space="preserve">)</w:t>
      </w:r>
    </w:p>
    <w:bookmarkEnd w:id="17"/>
    <w:bookmarkStart w:id="25" w:name="what-matters-most"/>
    <w:p>
      <w:pPr>
        <w:pStyle w:val="Heading2"/>
      </w:pPr>
      <w:r>
        <w:t xml:space="preserve">What matters most</w:t>
      </w:r>
    </w:p>
    <w:bookmarkStart w:id="19" w:name="Xb5093ee60c7d95e8dfb83db00b3f7d9bc4916ed"/>
    <w:p>
      <w:pPr>
        <w:pStyle w:val="Heading3"/>
      </w:pPr>
      <w:r>
        <w:t xml:space="preserve">1. Fitness must remain the growth engine</w:t>
      </w:r>
    </w:p>
    <w:p>
      <w:pPr>
        <w:pStyle w:val="FirstParagraph"/>
      </w:pPr>
      <w:r>
        <w:t xml:space="preserve">Fitness is the central earnings driver. Q1 revenue increased 42% to $547 million, led by advanced wearables, following 41% growth in Q2 2025. The comparison is difficult, so a meaningful deceleration would not necessarily be negative. The important questions are:</w:t>
      </w:r>
    </w:p>
    <w:p>
      <w:pPr>
        <w:pStyle w:val="Compact"/>
        <w:numPr>
          <w:ilvl w:val="0"/>
          <w:numId w:val="1002"/>
        </w:numPr>
      </w:pPr>
      <w:r>
        <w:t xml:space="preserve">Is demand still being driven primarily by unit growth and market-share gains?</w:t>
      </w:r>
    </w:p>
    <w:p>
      <w:pPr>
        <w:pStyle w:val="Compact"/>
        <w:numPr>
          <w:ilvl w:val="0"/>
          <w:numId w:val="1002"/>
        </w:numPr>
      </w:pPr>
      <w:r>
        <w:t xml:space="preserve">Are registration and retail sell-through trends still healthy?</w:t>
      </w:r>
    </w:p>
    <w:p>
      <w:pPr>
        <w:pStyle w:val="Compact"/>
        <w:numPr>
          <w:ilvl w:val="0"/>
          <w:numId w:val="1002"/>
        </w:numPr>
      </w:pPr>
      <w:r>
        <w:t xml:space="preserve">Is demand broad-based across entry-level and premium devices?</w:t>
      </w:r>
    </w:p>
    <w:p>
      <w:pPr>
        <w:pStyle w:val="Compact"/>
        <w:numPr>
          <w:ilvl w:val="0"/>
          <w:numId w:val="1002"/>
        </w:numPr>
      </w:pPr>
      <w:r>
        <w:t xml:space="preserve">Are Forerunner 70 and 170 launches contributing meaningfully?</w:t>
      </w:r>
    </w:p>
    <w:p>
      <w:pPr>
        <w:pStyle w:val="Compact"/>
        <w:numPr>
          <w:ilvl w:val="0"/>
          <w:numId w:val="1002"/>
        </w:numPr>
      </w:pPr>
      <w:r>
        <w:t xml:space="preserve">Is Garmin seeing any change in competitive intensity or consumer price sensitivity?</w:t>
      </w:r>
    </w:p>
    <w:p>
      <w:pPr>
        <w:pStyle w:val="FirstParagraph"/>
      </w:pPr>
      <w:r>
        <w:t xml:space="preserve">A fitness growth rate well below recent 40%-plus levels can still support the thesis. A sharp slowdown accompanied by weaker registrations or discounting would be more concerning. (</w:t>
      </w:r>
      <w:hyperlink r:id="rId10">
        <w:r>
          <w:rPr>
            <w:rStyle w:val="Hyperlink"/>
          </w:rPr>
          <w:t xml:space="preserve">s34181.pcdn.co</w:t>
        </w:r>
      </w:hyperlink>
      <w:r>
        <w:t xml:space="preserve">)</w:t>
      </w:r>
    </w:p>
    <w:p>
      <w:pPr>
        <w:pStyle w:val="BodyText"/>
      </w:pPr>
      <w:r>
        <w:t xml:space="preserve">Two post-quarter developments strengthen Garmin’s longer-term fitness ecosystem:</w:t>
      </w:r>
    </w:p>
    <w:p>
      <w:pPr>
        <w:pStyle w:val="Compact"/>
        <w:numPr>
          <w:ilvl w:val="0"/>
          <w:numId w:val="1003"/>
        </w:numPr>
      </w:pPr>
      <w:r>
        <w:t xml:space="preserve">Garmin introduced</w:t>
      </w:r>
      <w:r>
        <w:t xml:space="preserve"> </w:t>
      </w:r>
      <w:r>
        <w:rPr>
          <w:b/>
          <w:bCs/>
        </w:rPr>
        <w:t xml:space="preserve">CIRQA</w:t>
      </w:r>
      <w:r>
        <w:t xml:space="preserve">, its first screen-free health and fitness band, at $199.99 and without a required Garmin subscription.</w:t>
      </w:r>
    </w:p>
    <w:p>
      <w:pPr>
        <w:pStyle w:val="Compact"/>
        <w:numPr>
          <w:ilvl w:val="0"/>
          <w:numId w:val="1003"/>
        </w:numPr>
      </w:pPr>
      <w:r>
        <w:t xml:space="preserve">Garmin acquired</w:t>
      </w:r>
      <w:r>
        <w:t xml:space="preserve"> </w:t>
      </w:r>
      <w:r>
        <w:rPr>
          <w:b/>
          <w:bCs/>
        </w:rPr>
        <w:t xml:space="preserve">TrainingPeaks and TrainHeroic</w:t>
      </w:r>
      <w:r>
        <w:t xml:space="preserve">, adding athlete-coach platforms and 120 employees; financial terms were not disclosed. (</w:t>
      </w:r>
      <w:hyperlink r:id="rId18">
        <w:r>
          <w:rPr>
            <w:rStyle w:val="Hyperlink"/>
          </w:rPr>
          <w:t xml:space="preserve">garmin.com</w:t>
        </w:r>
      </w:hyperlink>
      <w:r>
        <w:t xml:space="preserve">)</w:t>
      </w:r>
    </w:p>
    <w:p>
      <w:pPr>
        <w:pStyle w:val="FirstParagraph"/>
      </w:pPr>
      <w:r>
        <w:t xml:space="preserve">The call should provide useful color on how TrainingPeaks and TrainHeroic fit alongside Garmin Connect+, and whether management views the acquisition primarily as a subscription-revenue opportunity, an engagement tool, or a hardware ecosystem differentiator.</w:t>
      </w:r>
    </w:p>
    <w:bookmarkEnd w:id="19"/>
    <w:bookmarkStart w:id="20" w:name="X26da8d5ccc2ea11768d6349ce56a9db733cefaa"/>
    <w:p>
      <w:pPr>
        <w:pStyle w:val="Heading3"/>
      </w:pPr>
      <w:r>
        <w:t xml:space="preserve">2. Outdoor weakness is expected—but confidence in the second half is essential</w:t>
      </w:r>
    </w:p>
    <w:p>
      <w:pPr>
        <w:pStyle w:val="FirstParagraph"/>
      </w:pPr>
      <w:r>
        <w:t xml:space="preserve">Outdoor declined 5% in Q1 because Garmin was comparing against the prior-year Instinct 3 launch. The segment’s product cycles make quarterly results volatile, and management has consistently pointed to stronger contributions from new products later in 2026. (</w:t>
      </w:r>
      <w:hyperlink r:id="rId10">
        <w:r>
          <w:rPr>
            <w:rStyle w:val="Hyperlink"/>
          </w:rPr>
          <w:t xml:space="preserve">s34181.pcdn.co</w:t>
        </w:r>
      </w:hyperlink>
      <w:r>
        <w:t xml:space="preserve">)</w:t>
      </w:r>
    </w:p>
    <w:p>
      <w:pPr>
        <w:pStyle w:val="BodyText"/>
      </w:pPr>
      <w:r>
        <w:t xml:space="preserve">Investors should be relatively forgiving of another soft outdoor quarter if management:</w:t>
      </w:r>
    </w:p>
    <w:p>
      <w:pPr>
        <w:pStyle w:val="Compact"/>
        <w:numPr>
          <w:ilvl w:val="0"/>
          <w:numId w:val="1004"/>
        </w:numPr>
      </w:pPr>
      <w:r>
        <w:t xml:space="preserve">Reaffirms the second-half product cadence;</w:t>
      </w:r>
    </w:p>
    <w:p>
      <w:pPr>
        <w:pStyle w:val="Compact"/>
        <w:numPr>
          <w:ilvl w:val="0"/>
          <w:numId w:val="1004"/>
        </w:numPr>
      </w:pPr>
      <w:r>
        <w:t xml:space="preserve">Remains confident that full-year outdoor growth will improve from 2025;</w:t>
      </w:r>
    </w:p>
    <w:p>
      <w:pPr>
        <w:pStyle w:val="Compact"/>
        <w:numPr>
          <w:ilvl w:val="0"/>
          <w:numId w:val="1004"/>
        </w:numPr>
      </w:pPr>
      <w:r>
        <w:t xml:space="preserve">Reports healthy demand for the fēnix and inReach franchises; and</w:t>
      </w:r>
    </w:p>
    <w:p>
      <w:pPr>
        <w:pStyle w:val="Compact"/>
        <w:numPr>
          <w:ilvl w:val="0"/>
          <w:numId w:val="1004"/>
        </w:numPr>
      </w:pPr>
      <w:r>
        <w:t xml:space="preserve">Avoids signaling elevated channel inventory.</w:t>
      </w:r>
    </w:p>
    <w:p>
      <w:pPr>
        <w:pStyle w:val="FirstParagraph"/>
      </w:pPr>
      <w:r>
        <w:t xml:space="preserve">A weak Q2 combined with less confidence in the second-half launch schedule would be a more material problem because the full-year guidance already assumes a growth acceleration.</w:t>
      </w:r>
    </w:p>
    <w:bookmarkEnd w:id="20"/>
    <w:bookmarkStart w:id="21" w:name="Xf7624fe2d5a9fc5290e3863d8c1faddc0fd3d7e"/>
    <w:p>
      <w:pPr>
        <w:pStyle w:val="Heading3"/>
      </w:pPr>
      <w:r>
        <w:t xml:space="preserve">3. Margin quality may matter more than the revenue beat</w:t>
      </w:r>
    </w:p>
    <w:p>
      <w:pPr>
        <w:pStyle w:val="FirstParagraph"/>
      </w:pPr>
      <w:r>
        <w:t xml:space="preserve">Q1 gross margin rose to 59.4%, partly due to favorable currency effects, while operating margin expanded 290 basis points to 24.6%. Marine margin, however, was pressured by tariffs. (</w:t>
      </w:r>
      <w:hyperlink r:id="rId10">
        <w:r>
          <w:rPr>
            <w:rStyle w:val="Hyperlink"/>
          </w:rPr>
          <w:t xml:space="preserve">s34181.pcdn.co</w:t>
        </w:r>
      </w:hyperlink>
      <w:r>
        <w:t xml:space="preserve">)</w:t>
      </w:r>
    </w:p>
    <w:p>
      <w:pPr>
        <w:pStyle w:val="BodyText"/>
      </w:pPr>
      <w:r>
        <w:t xml:space="preserve">Key items to monitor: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Tariffs:</w:t>
      </w:r>
      <w:r>
        <w:t xml:space="preserve"> </w:t>
      </w:r>
      <w:r>
        <w:t xml:space="preserve">whether marine and other hardware categories continue to experience incremental costs;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Components and memory:</w:t>
      </w:r>
      <w:r>
        <w:t xml:space="preserve"> </w:t>
      </w:r>
      <w:r>
        <w:t xml:space="preserve">management previously indicated that inventory buffers should contain much of the 2026 impact, with greater pressure potentially emerging in 2027;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FX:</w:t>
      </w:r>
      <w:r>
        <w:t xml:space="preserve"> </w:t>
      </w:r>
      <w:r>
        <w:t xml:space="preserve">how much of Q1’s gross-margin benefit continued into Q2;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Operating leverage:</w:t>
      </w:r>
      <w:r>
        <w:t xml:space="preserve"> </w:t>
      </w:r>
      <w:r>
        <w:t xml:space="preserve">whether revenue can continue growing faster than personnel-heavy R&amp;D and SG&amp;A;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Product mix:</w:t>
      </w:r>
      <w:r>
        <w:t xml:space="preserve"> </w:t>
      </w:r>
      <w:r>
        <w:t xml:space="preserve">strength in high-margin fitness, outdoor and aviation can offset auto OEM and tariff pressure.</w:t>
      </w:r>
    </w:p>
    <w:p>
      <w:pPr>
        <w:pStyle w:val="FirstParagraph"/>
      </w:pPr>
      <w:r>
        <w:t xml:space="preserve">A revenue beat produced by better margins and operating leverage would be higher quality than one driven mainly by low-margin mix or channel inventory.</w:t>
      </w:r>
    </w:p>
    <w:bookmarkEnd w:id="21"/>
    <w:bookmarkStart w:id="23" w:name="X91fdfa821d60e60021cbcb01d37777f12327dad"/>
    <w:p>
      <w:pPr>
        <w:pStyle w:val="Heading3"/>
      </w:pPr>
      <w:r>
        <w:t xml:space="preserve">4. Aviation and marine provide diversification—but watch end-market commentary</w:t>
      </w:r>
    </w:p>
    <w:p>
      <w:pPr>
        <w:pStyle w:val="FirstParagraph"/>
      </w:pPr>
      <w:r>
        <w:t xml:space="preserve">Aviation entered Q2 with strong momentum: Q1 revenue increased 18%, with both OEM and aftermarket growth. Marine increased 11%, supported by broad-based product demand. (</w:t>
      </w:r>
      <w:hyperlink r:id="rId10">
        <w:r>
          <w:rPr>
            <w:rStyle w:val="Hyperlink"/>
          </w:rPr>
          <w:t xml:space="preserve">s34181.pcdn.co</w:t>
        </w:r>
      </w:hyperlink>
      <w:r>
        <w:t xml:space="preserve">)</w:t>
      </w:r>
    </w:p>
    <w:p>
      <w:pPr>
        <w:pStyle w:val="BodyText"/>
      </w:pPr>
      <w:r>
        <w:t xml:space="preserve">The principal questions are:</w:t>
      </w:r>
    </w:p>
    <w:p>
      <w:pPr>
        <w:pStyle w:val="Compact"/>
        <w:numPr>
          <w:ilvl w:val="0"/>
          <w:numId w:val="1006"/>
        </w:numPr>
      </w:pPr>
      <w:r>
        <w:t xml:space="preserve">Are aircraft OEM backlogs and retrofit demand still supporting double-digit aviation growth?</w:t>
      </w:r>
    </w:p>
    <w:p>
      <w:pPr>
        <w:pStyle w:val="Compact"/>
        <w:numPr>
          <w:ilvl w:val="0"/>
          <w:numId w:val="1006"/>
        </w:numPr>
      </w:pPr>
      <w:r>
        <w:t xml:space="preserve">Has fuel-price or geopolitical uncertainty caused any order hesitation?</w:t>
      </w:r>
    </w:p>
    <w:p>
      <w:pPr>
        <w:pStyle w:val="Compact"/>
        <w:numPr>
          <w:ilvl w:val="0"/>
          <w:numId w:val="1006"/>
        </w:numPr>
      </w:pPr>
      <w:r>
        <w:t xml:space="preserve">Is marine growth still broad-based between boat builders and aftermarket customers?</w:t>
      </w:r>
    </w:p>
    <w:p>
      <w:pPr>
        <w:pStyle w:val="Compact"/>
        <w:numPr>
          <w:ilvl w:val="0"/>
          <w:numId w:val="1006"/>
        </w:numPr>
      </w:pPr>
      <w:r>
        <w:t xml:space="preserve">Are Garmin’s sonar and chartplotter launches driving additional share gains?</w:t>
      </w:r>
    </w:p>
    <w:p>
      <w:pPr>
        <w:pStyle w:val="Compact"/>
        <w:numPr>
          <w:ilvl w:val="0"/>
          <w:numId w:val="1006"/>
        </w:numPr>
      </w:pPr>
      <w:r>
        <w:t xml:space="preserve">Can marine margins stabilize despite tariffs?</w:t>
      </w:r>
    </w:p>
    <w:p>
      <w:pPr>
        <w:pStyle w:val="FirstParagraph"/>
      </w:pPr>
      <w:r>
        <w:t xml:space="preserve">Several July launches—including AXIS and G2000 PRIME aviation systems and LiveScope 2 marine sonar—do not affect Q2 results but support the forward product pipeline. (</w:t>
      </w:r>
      <w:hyperlink r:id="rId22">
        <w:r>
          <w:rPr>
            <w:rStyle w:val="Hyperlink"/>
          </w:rPr>
          <w:t xml:space="preserve">garmin.com</w:t>
        </w:r>
      </w:hyperlink>
      <w:r>
        <w:t xml:space="preserve">)</w:t>
      </w:r>
    </w:p>
    <w:bookmarkEnd w:id="23"/>
    <w:bookmarkStart w:id="24" w:name="X8909df14c798467b049a5032e0bd19b387a4c9f"/>
    <w:p>
      <w:pPr>
        <w:pStyle w:val="Heading3"/>
      </w:pPr>
      <w:r>
        <w:t xml:space="preserve">5. Auto OEM is about 2027, not Q2</w:t>
      </w:r>
    </w:p>
    <w:p>
      <w:pPr>
        <w:pStyle w:val="FirstParagraph"/>
      </w:pPr>
      <w:r>
        <w:t xml:space="preserve">Auto OEM is unlikely to determine the immediate stock reaction. Q1 revenue was nearly flat at $170 million and the segment recorded a $6 million operating loss. Garmin expects 2026 revenue to decline as BMW volumes peak and older programs end, while losses should narrow. (</w:t>
      </w:r>
      <w:hyperlink r:id="rId10">
        <w:r>
          <w:rPr>
            <w:rStyle w:val="Hyperlink"/>
          </w:rPr>
          <w:t xml:space="preserve">s34181.pcdn.co</w:t>
        </w:r>
      </w:hyperlink>
      <w:r>
        <w:t xml:space="preserve">)</w:t>
      </w:r>
    </w:p>
    <w:p>
      <w:pPr>
        <w:pStyle w:val="BodyText"/>
      </w:pPr>
      <w:r>
        <w:t xml:space="preserve">The more important issues are:</w:t>
      </w:r>
    </w:p>
    <w:p>
      <w:pPr>
        <w:pStyle w:val="Compact"/>
        <w:numPr>
          <w:ilvl w:val="0"/>
          <w:numId w:val="1007"/>
        </w:numPr>
      </w:pPr>
      <w:r>
        <w:t xml:space="preserve">Whether the Mercedes-Benz program remains on schedule for a major 2027 ramp;</w:t>
      </w:r>
    </w:p>
    <w:p>
      <w:pPr>
        <w:pStyle w:val="Compact"/>
        <w:numPr>
          <w:ilvl w:val="0"/>
          <w:numId w:val="1007"/>
        </w:numPr>
      </w:pPr>
      <w:r>
        <w:t xml:space="preserve">Whether limited late-2026 revenue remains likely;</w:t>
      </w:r>
    </w:p>
    <w:p>
      <w:pPr>
        <w:pStyle w:val="Compact"/>
        <w:numPr>
          <w:ilvl w:val="0"/>
          <w:numId w:val="1007"/>
        </w:numPr>
      </w:pPr>
      <w:r>
        <w:t xml:space="preserve">Whether anticipated unit volumes or program economics have changed; and</w:t>
      </w:r>
    </w:p>
    <w:p>
      <w:pPr>
        <w:pStyle w:val="Compact"/>
        <w:numPr>
          <w:ilvl w:val="0"/>
          <w:numId w:val="1007"/>
        </w:numPr>
      </w:pPr>
      <w:r>
        <w:t xml:space="preserve">How much R&amp;D spending is being redirected to more profitable segments.</w:t>
      </w:r>
    </w:p>
    <w:bookmarkEnd w:id="24"/>
    <w:bookmarkEnd w:id="25"/>
    <w:bookmarkStart w:id="26" w:name="guidance-math"/>
    <w:p>
      <w:pPr>
        <w:pStyle w:val="Heading2"/>
      </w:pPr>
      <w:r>
        <w:t xml:space="preserve">Guidance math</w:t>
      </w:r>
    </w:p>
    <w:p>
      <w:pPr>
        <w:pStyle w:val="FirstParagraph"/>
      </w:pPr>
      <w:r>
        <w:t xml:space="preserve">At consensus, first-half revenue would be approximately</w:t>
      </w:r>
      <w:r>
        <w:t xml:space="preserve"> </w:t>
      </w:r>
      <m:oMath>
        <m:r>
          <m:t>3.68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G</m:t>
        </m:r>
        <m:r>
          <m:t>a</m:t>
        </m:r>
        <m:r>
          <m:t>r</m:t>
        </m:r>
        <m:r>
          <m:t>m</m:t>
        </m:r>
        <m:r>
          <m:t>i</m:t>
        </m:r>
        <m:r>
          <m:t>n</m:t>
        </m:r>
        <m:r>
          <m:t>w</m:t>
        </m:r>
        <m:r>
          <m:t>o</m:t>
        </m:r>
        <m:r>
          <m:t>u</m:t>
        </m:r>
        <m:r>
          <m:t>l</m:t>
        </m:r>
        <m:r>
          <m:t>d</m:t>
        </m:r>
        <m:r>
          <m:t>t</m:t>
        </m:r>
        <m:r>
          <m:t>h</m:t>
        </m:r>
        <m:r>
          <m:t>e</m:t>
        </m:r>
        <m:r>
          <m:t>n</m:t>
        </m:r>
        <m:r>
          <m:t>n</m:t>
        </m:r>
        <m:r>
          <m:t>e</m:t>
        </m:r>
        <m:r>
          <m:t>e</m:t>
        </m:r>
        <m:r>
          <m:t>d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4.22 billion in second-half revenue</w:t>
      </w:r>
      <w:r>
        <w:t xml:space="preserve"> </w:t>
      </w:r>
      <w:r>
        <w:t xml:space="preserve">to meet its $7.9 billion target, equivalent to about</w:t>
      </w:r>
      <w:r>
        <w:t xml:space="preserve"> </w:t>
      </w:r>
      <w:r>
        <w:rPr>
          <w:b/>
          <w:bCs/>
        </w:rPr>
        <w:t xml:space="preserve">8% year-over-year growth</w:t>
      </w:r>
      <w:r>
        <w:t xml:space="preserve">.</w:t>
      </w:r>
    </w:p>
    <w:p>
      <w:pPr>
        <w:pStyle w:val="BodyText"/>
      </w:pPr>
      <w:r>
        <w:t xml:space="preserve">That looks achievable, but it depends on:</w:t>
      </w:r>
    </w:p>
    <w:p>
      <w:pPr>
        <w:pStyle w:val="Compact"/>
        <w:numPr>
          <w:ilvl w:val="0"/>
          <w:numId w:val="1008"/>
        </w:numPr>
      </w:pPr>
      <w:r>
        <w:t xml:space="preserve">Fitness maintaining healthy growth against harder comparisons;</w:t>
      </w:r>
    </w:p>
    <w:p>
      <w:pPr>
        <w:pStyle w:val="Compact"/>
        <w:numPr>
          <w:ilvl w:val="0"/>
          <w:numId w:val="1008"/>
        </w:numPr>
      </w:pPr>
      <w:r>
        <w:t xml:space="preserve">Outdoor product launches creating the expected second-half acceleration;</w:t>
      </w:r>
    </w:p>
    <w:p>
      <w:pPr>
        <w:pStyle w:val="Compact"/>
        <w:numPr>
          <w:ilvl w:val="0"/>
          <w:numId w:val="1008"/>
        </w:numPr>
      </w:pPr>
      <w:r>
        <w:t xml:space="preserve">Continued aviation and marine growth; and</w:t>
      </w:r>
    </w:p>
    <w:p>
      <w:pPr>
        <w:pStyle w:val="Compact"/>
        <w:numPr>
          <w:ilvl w:val="0"/>
          <w:numId w:val="1008"/>
        </w:numPr>
      </w:pPr>
      <w:r>
        <w:t xml:space="preserve">No significant worsening in tariffs, component costs or consumer demand.</w:t>
      </w:r>
    </w:p>
    <w:p>
      <w:pPr>
        <w:pStyle w:val="FirstParagraph"/>
      </w:pPr>
      <w:r>
        <w:t xml:space="preserve">Because the Street already sits modestly above management’s outlook, simply reiterating $7.9 billion and $9.35 could be interpreted cautiously unless management emphasizes conservatism or unusually strong second-half visibility.</w:t>
      </w:r>
    </w:p>
    <w:bookmarkEnd w:id="26"/>
    <w:bookmarkStart w:id="27" w:name="balance-sheet-and-capital-allocation"/>
    <w:p>
      <w:pPr>
        <w:pStyle w:val="Heading2"/>
      </w:pPr>
      <w:r>
        <w:t xml:space="preserve">Balance sheet and capital allocation</w:t>
      </w:r>
    </w:p>
    <w:p>
      <w:pPr>
        <w:pStyle w:val="FirstParagraph"/>
      </w:pPr>
      <w:r>
        <w:t xml:space="preserve">Garmin ended Q1 with approximately</w:t>
      </w:r>
      <w:r>
        <w:t xml:space="preserve"> </w:t>
      </w:r>
      <w:r>
        <w:rPr>
          <w:b/>
          <w:bCs/>
        </w:rPr>
        <w:t xml:space="preserve">$4.3 billion of cash and marketable securities</w:t>
      </w:r>
      <w:r>
        <w:t xml:space="preserve">, generated $469 million of free cash flow, and had $491 million remaining under its repurchase authorization. Inventory stood at approximately $1.85 billion, reflecting both growth and management’s use of safety stock to manage component availability and costs. (</w:t>
      </w:r>
      <w:hyperlink r:id="rId10">
        <w:r>
          <w:rPr>
            <w:rStyle w:val="Hyperlink"/>
          </w:rPr>
          <w:t xml:space="preserve">s34181.pcdn.co</w:t>
        </w:r>
      </w:hyperlink>
      <w:r>
        <w:t xml:space="preserve">)</w:t>
      </w:r>
    </w:p>
    <w:p>
      <w:pPr>
        <w:pStyle w:val="BodyText"/>
      </w:pPr>
      <w:r>
        <w:t xml:space="preserve">Investors should listen for:</w:t>
      </w:r>
    </w:p>
    <w:p>
      <w:pPr>
        <w:pStyle w:val="Compact"/>
        <w:numPr>
          <w:ilvl w:val="0"/>
          <w:numId w:val="1009"/>
        </w:numPr>
      </w:pPr>
      <w:r>
        <w:t xml:space="preserve">The purchase price and expected financial contribution from TrainingPeaks and TrainHeroic;</w:t>
      </w:r>
    </w:p>
    <w:p>
      <w:pPr>
        <w:pStyle w:val="Compact"/>
        <w:numPr>
          <w:ilvl w:val="0"/>
          <w:numId w:val="1009"/>
        </w:numPr>
      </w:pPr>
      <w:r>
        <w:t xml:space="preserve">Whether the acquisition changes 2026 EPS or cash-flow guidance;</w:t>
      </w:r>
    </w:p>
    <w:p>
      <w:pPr>
        <w:pStyle w:val="Compact"/>
        <w:numPr>
          <w:ilvl w:val="0"/>
          <w:numId w:val="1009"/>
        </w:numPr>
      </w:pPr>
      <w:r>
        <w:t xml:space="preserve">Inventory growth relative to demand;</w:t>
      </w:r>
    </w:p>
    <w:p>
      <w:pPr>
        <w:pStyle w:val="Compact"/>
        <w:numPr>
          <w:ilvl w:val="0"/>
          <w:numId w:val="1009"/>
        </w:numPr>
      </w:pPr>
      <w:r>
        <w:t xml:space="preserve">Progress on the new Thailand manufacturing facility; and</w:t>
      </w:r>
    </w:p>
    <w:p>
      <w:pPr>
        <w:pStyle w:val="Compact"/>
        <w:numPr>
          <w:ilvl w:val="0"/>
          <w:numId w:val="1009"/>
        </w:numPr>
      </w:pPr>
      <w:r>
        <w:t xml:space="preserve">The pace of repurchases following the stock’s appreciation.</w:t>
      </w:r>
    </w:p>
    <w:bookmarkEnd w:id="27"/>
    <w:bookmarkStart w:id="31" w:name="scenario-framework"/>
    <w:p>
      <w:pPr>
        <w:pStyle w:val="Heading2"/>
      </w:pPr>
      <w:r>
        <w:t xml:space="preserve">Scenario framework</w:t>
      </w:r>
    </w:p>
    <w:bookmarkStart w:id="28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0"/>
        </w:numPr>
      </w:pPr>
      <w:r>
        <w:t xml:space="preserve">Revenue and EPS comfortably exceed consensus;</w:t>
      </w:r>
    </w:p>
    <w:p>
      <w:pPr>
        <w:pStyle w:val="Compact"/>
        <w:numPr>
          <w:ilvl w:val="0"/>
          <w:numId w:val="1010"/>
        </w:numPr>
      </w:pPr>
      <w:r>
        <w:t xml:space="preserve">Fitness remains exceptionally strong with healthy registrations;</w:t>
      </w:r>
    </w:p>
    <w:p>
      <w:pPr>
        <w:pStyle w:val="Compact"/>
        <w:numPr>
          <w:ilvl w:val="0"/>
          <w:numId w:val="1010"/>
        </w:numPr>
      </w:pPr>
      <w:r>
        <w:t xml:space="preserve">Gross margin holds near 59% despite tariffs;</w:t>
      </w:r>
    </w:p>
    <w:p>
      <w:pPr>
        <w:pStyle w:val="Compact"/>
        <w:numPr>
          <w:ilvl w:val="0"/>
          <w:numId w:val="1010"/>
        </w:numPr>
      </w:pPr>
      <w:r>
        <w:t xml:space="preserve">Outdoor’s second-half acceleration is reaffirmed;</w:t>
      </w:r>
    </w:p>
    <w:p>
      <w:pPr>
        <w:pStyle w:val="Compact"/>
        <w:numPr>
          <w:ilvl w:val="0"/>
          <w:numId w:val="1010"/>
        </w:numPr>
      </w:pPr>
      <w:r>
        <w:t xml:space="preserve">Full-year revenue and EPS guidance are raised above current consensus.</w:t>
      </w:r>
    </w:p>
    <w:bookmarkEnd w:id="28"/>
    <w:bookmarkStart w:id="29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1"/>
        </w:numPr>
      </w:pPr>
      <w:r>
        <w:t xml:space="preserve">Modest revenue and EPS beat;</w:t>
      </w:r>
    </w:p>
    <w:p>
      <w:pPr>
        <w:pStyle w:val="Compact"/>
        <w:numPr>
          <w:ilvl w:val="0"/>
          <w:numId w:val="1011"/>
        </w:numPr>
      </w:pPr>
      <w:r>
        <w:t xml:space="preserve">Fitness decelerates but remains the dominant growth contributor;</w:t>
      </w:r>
    </w:p>
    <w:p>
      <w:pPr>
        <w:pStyle w:val="Compact"/>
        <w:numPr>
          <w:ilvl w:val="0"/>
          <w:numId w:val="1011"/>
        </w:numPr>
      </w:pPr>
      <w:r>
        <w:t xml:space="preserve">Outdoor is soft but product-launch timing remains intact;</w:t>
      </w:r>
    </w:p>
    <w:p>
      <w:pPr>
        <w:pStyle w:val="Compact"/>
        <w:numPr>
          <w:ilvl w:val="0"/>
          <w:numId w:val="1011"/>
        </w:numPr>
      </w:pPr>
      <w:r>
        <w:t xml:space="preserve">Guidance rises toward approximately $8.0 billion of revenue and $9.5-plus EPS.</w:t>
      </w:r>
    </w:p>
    <w:bookmarkEnd w:id="29"/>
    <w:bookmarkStart w:id="30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2"/>
        </w:numPr>
      </w:pPr>
      <w:r>
        <w:t xml:space="preserve">Fitness growth slows materially due to weaker units or channel demand;</w:t>
      </w:r>
    </w:p>
    <w:p>
      <w:pPr>
        <w:pStyle w:val="Compact"/>
        <w:numPr>
          <w:ilvl w:val="0"/>
          <w:numId w:val="1012"/>
        </w:numPr>
      </w:pPr>
      <w:r>
        <w:t xml:space="preserve">Outdoor weakness persists without a convincing second-half catalyst;</w:t>
      </w:r>
    </w:p>
    <w:p>
      <w:pPr>
        <w:pStyle w:val="Compact"/>
        <w:numPr>
          <w:ilvl w:val="0"/>
          <w:numId w:val="1012"/>
        </w:numPr>
      </w:pPr>
      <w:r>
        <w:t xml:space="preserve">Tariffs, component costs or mix pressure gross margin;</w:t>
      </w:r>
    </w:p>
    <w:p>
      <w:pPr>
        <w:pStyle w:val="Compact"/>
        <w:numPr>
          <w:ilvl w:val="0"/>
          <w:numId w:val="1012"/>
        </w:numPr>
      </w:pPr>
      <w:r>
        <w:t xml:space="preserve">Marine or aviation customers show greater hesitation;</w:t>
      </w:r>
    </w:p>
    <w:p>
      <w:pPr>
        <w:pStyle w:val="Compact"/>
        <w:numPr>
          <w:ilvl w:val="0"/>
          <w:numId w:val="1012"/>
        </w:numPr>
      </w:pPr>
      <w:r>
        <w:t xml:space="preserve">Guidance is merely reiterated—or margins are reduced.</w:t>
      </w:r>
    </w:p>
    <w:bookmarkEnd w:id="30"/>
    <w:bookmarkEnd w:id="31"/>
    <w:bookmarkStart w:id="32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Garmin’s underlying setup remains attractive: strong wearable share gains, resilient aviation and marine franchises, a net-cash balance sheet, and an active product pipeline. But following Q1’s substantial outperformance and the stock’s year-to-date appreciation,</w:t>
      </w:r>
      <w:r>
        <w:t xml:space="preserve"> </w:t>
      </w:r>
      <w:r>
        <w:rPr>
          <w:b/>
          <w:bCs/>
        </w:rPr>
        <w:t xml:space="preserve">a routine beat may not be sufficient</w:t>
      </w:r>
      <w:r>
        <w:t xml:space="preserve">.</w:t>
      </w:r>
    </w:p>
    <w:p>
      <w:pPr>
        <w:pStyle w:val="BodyText"/>
      </w:pPr>
      <w:r>
        <w:t xml:space="preserve">The cleanest positive report would combine:</w:t>
      </w:r>
    </w:p>
    <w:p>
      <w:pPr>
        <w:pStyle w:val="Compact"/>
        <w:numPr>
          <w:ilvl w:val="0"/>
          <w:numId w:val="1013"/>
        </w:numPr>
      </w:pPr>
      <w:r>
        <w:t xml:space="preserve">Continued unit-driven fitness growth;</w:t>
      </w:r>
    </w:p>
    <w:p>
      <w:pPr>
        <w:pStyle w:val="Compact"/>
        <w:numPr>
          <w:ilvl w:val="0"/>
          <w:numId w:val="1013"/>
        </w:numPr>
      </w:pPr>
      <w:r>
        <w:t xml:space="preserve">Gross-margin resilience;</w:t>
      </w:r>
    </w:p>
    <w:p>
      <w:pPr>
        <w:pStyle w:val="Compact"/>
        <w:numPr>
          <w:ilvl w:val="0"/>
          <w:numId w:val="1013"/>
        </w:numPr>
      </w:pPr>
      <w:r>
        <w:t xml:space="preserve">Confidence in the outdoor second-half launch cycle; and</w:t>
      </w:r>
    </w:p>
    <w:p>
      <w:pPr>
        <w:pStyle w:val="Compact"/>
        <w:numPr>
          <w:ilvl w:val="0"/>
          <w:numId w:val="1013"/>
        </w:numPr>
      </w:pPr>
      <w:r>
        <w:t xml:space="preserve">A meaningful full-year guidance increase.</w:t>
      </w:r>
    </w:p>
    <w:p>
      <w:pPr>
        <w:pStyle w:val="FirstParagraph"/>
      </w:pPr>
      <w:r>
        <w:t xml:space="preserve">The biggest risk is not necessarily missing Q2 consensus. It is management indicating that Q1 represented the high point for growth or margins while leaving full-year guidance unchanged.</w:t>
      </w:r>
    </w:p>
    <w:bookmarkEnd w:id="32"/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s://s34181.pcdn.co/en-US/newsroom/wp-content/uploads/2026/04/2026-Q1-GRMN-Earnings_FinalClean.pdf" TargetMode="External" /><Relationship Type="http://schemas.openxmlformats.org/officeDocument/2006/relationships/hyperlink" Id="rId11" Target="https://stockanalysis.com/stocks/grmn/history/" TargetMode="External" /><Relationship Type="http://schemas.openxmlformats.org/officeDocument/2006/relationships/hyperlink" Id="rId16" Target="https://www.benzinga.com/quote/GRMN/earnings-forecasts?utm_source=openai" TargetMode="External" /><Relationship Type="http://schemas.openxmlformats.org/officeDocument/2006/relationships/hyperlink" Id="rId13" Target="https://www.benzinga.com/quote/GRMN/earnings?utm_source=openai" TargetMode="External" /><Relationship Type="http://schemas.openxmlformats.org/officeDocument/2006/relationships/hyperlink" Id="rId22" Target="https://www.garmin.com/en-US/newsroom/?utm_source=openai" TargetMode="External" /><Relationship Type="http://schemas.openxmlformats.org/officeDocument/2006/relationships/hyperlink" Id="rId18" Target="https://www.garmin.com/en-US/newsroom/press-release/corporate/garmin-acquires-trainingpeaks-and-trainheroic-leading-endurance-and-strength-training-platforms-for-athletes-and-coaches/" TargetMode="External" /><Relationship Type="http://schemas.openxmlformats.org/officeDocument/2006/relationships/hyperlink" Id="rId9" Target="https://www.garmin.com/en-US/newsroom/press-release/corporate/garmin-ltd-schedules-second-quarter-2026-earnings-call/" TargetMode="External" /><Relationship Type="http://schemas.openxmlformats.org/officeDocument/2006/relationships/hyperlink" Id="rId15" Target="https://www.garmin.com/en-US/newsroom/wp-content/uploads/2026/02/2025_Q4_Earnings_Press_Release.pdf" TargetMode="External" /><Relationship Type="http://schemas.openxmlformats.org/officeDocument/2006/relationships/hyperlink" Id="rId14" Target="https://www8.garmin.com/aboutGarmin/invRelations/reports/2025_Q2_Earnings_Press_Release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s://s34181.pcdn.co/en-US/newsroom/wp-content/uploads/2026/04/2026-Q1-GRMN-Earnings_FinalClean.pdf" TargetMode="External" /><Relationship Type="http://schemas.openxmlformats.org/officeDocument/2006/relationships/hyperlink" Id="rId11" Target="https://stockanalysis.com/stocks/grmn/history/" TargetMode="External" /><Relationship Type="http://schemas.openxmlformats.org/officeDocument/2006/relationships/hyperlink" Id="rId16" Target="https://www.benzinga.com/quote/GRMN/earnings-forecasts?utm_source=openai" TargetMode="External" /><Relationship Type="http://schemas.openxmlformats.org/officeDocument/2006/relationships/hyperlink" Id="rId13" Target="https://www.benzinga.com/quote/GRMN/earnings?utm_source=openai" TargetMode="External" /><Relationship Type="http://schemas.openxmlformats.org/officeDocument/2006/relationships/hyperlink" Id="rId22" Target="https://www.garmin.com/en-US/newsroom/?utm_source=openai" TargetMode="External" /><Relationship Type="http://schemas.openxmlformats.org/officeDocument/2006/relationships/hyperlink" Id="rId18" Target="https://www.garmin.com/en-US/newsroom/press-release/corporate/garmin-acquires-trainingpeaks-and-trainheroic-leading-endurance-and-strength-training-platforms-for-athletes-and-coaches/" TargetMode="External" /><Relationship Type="http://schemas.openxmlformats.org/officeDocument/2006/relationships/hyperlink" Id="rId9" Target="https://www.garmin.com/en-US/newsroom/press-release/corporate/garmin-ltd-schedules-second-quarter-2026-earnings-call/" TargetMode="External" /><Relationship Type="http://schemas.openxmlformats.org/officeDocument/2006/relationships/hyperlink" Id="rId15" Target="https://www.garmin.com/en-US/newsroom/wp-content/uploads/2026/02/2025_Q4_Earnings_Press_Release.pdf" TargetMode="External" /><Relationship Type="http://schemas.openxmlformats.org/officeDocument/2006/relationships/hyperlink" Id="rId14" Target="https://www8.garmin.com/aboutGarmin/invRelations/reports/2025_Q2_Earnings_Press_Release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2026-07-29T01:02:38Z</dcterms:created>
  <dcterms:modified xsi:type="dcterms:W3CDTF">2026-07-29T01:02:38Z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