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3b838c18ed15af88fb13f03ca64c29539b2c89"/>
    <w:p>
      <w:pPr>
        <w:pStyle w:val="Heading1"/>
      </w:pPr>
      <w:r>
        <w:t xml:space="preserve">Garmin (NYSE: GRMN) — Q2 2026 Earnings Preview</w:t>
      </w:r>
    </w:p>
    <w:p>
      <w:pPr>
        <w:pStyle w:val="BlockText"/>
      </w:pPr>
      <w:r>
        <w:rPr>
          <w:b/>
          <w:bCs/>
        </w:rPr>
        <w:t xml:space="preserve">Timing correction:</w:t>
      </w:r>
      <w:r>
        <w:t xml:space="preserve"> </w:t>
      </w:r>
      <w:r>
        <w:t xml:space="preserve">Garmin is scheduled to report</w:t>
      </w:r>
      <w:r>
        <w:t xml:space="preserve"> </w:t>
      </w:r>
      <w:r>
        <w:rPr>
          <w:b/>
          <w:bCs/>
        </w:rPr>
        <w:t xml:space="preserve">before the market opens on Wednesday, July 29, 2026</w:t>
      </w:r>
      <w:r>
        <w:t xml:space="preserve">, followed by its earnings call at</w:t>
      </w:r>
      <w:r>
        <w:t xml:space="preserve"> </w:t>
      </w:r>
      <w:r>
        <w:rPr>
          <w:b/>
          <w:bCs/>
        </w:rPr>
        <w:t xml:space="preserve">10:30 a.m. ET</w:t>
      </w:r>
      <w:r>
        <w:t xml:space="preserve">—that is</w:t>
      </w:r>
      <w:r>
        <w:t xml:space="preserve"> </w:t>
      </w:r>
      <w:r>
        <w:rPr>
          <w:b/>
          <w:bCs/>
        </w:rPr>
        <w:t xml:space="preserve">today</w:t>
      </w:r>
      <w:r>
        <w:t xml:space="preserve">, not tomorrow.</w:t>
      </w:r>
    </w:p>
    <w:bookmarkStart w:id="9" w:name="investment-setup"/>
    <w:p>
      <w:pPr>
        <w:pStyle w:val="Heading2"/>
      </w:pPr>
      <w:r>
        <w:t xml:space="preserve">Investment setup</w:t>
      </w:r>
    </w:p>
    <w:p>
      <w:pPr>
        <w:pStyle w:val="FirstParagraph"/>
      </w:pPr>
      <w:r>
        <w:t xml:space="preserve">Garmin enters Q2 after an exceptionally strong Q1: revenue rose</w:t>
      </w:r>
      <w:r>
        <w:t xml:space="preserve"> </w:t>
      </w:r>
      <w:r>
        <w:rPr>
          <w:b/>
          <w:bCs/>
        </w:rPr>
        <w:t xml:space="preserve">14%</w:t>
      </w:r>
      <w:r>
        <w:t xml:space="preserve"> </w:t>
      </w:r>
      <w:r>
        <w:t xml:space="preserve">year over year to a first-quarter record</w:t>
      </w:r>
      <w:r>
        <w:t xml:space="preserve"> </w:t>
      </w:r>
      <m:oMath>
        <m:r>
          <m:t>1.75</m:t>
        </m:r>
        <m:r>
          <m:t>b</m:t>
        </m:r>
        <m:r>
          <m:t>i</m:t>
        </m:r>
        <m:r>
          <m:t>l</m:t>
        </m:r>
        <m:r>
          <m:t>l</m:t>
        </m:r>
        <m:r>
          <m:t>i</m:t>
        </m:r>
        <m:r>
          <m:t>o</m:t>
        </m:r>
        <m:r>
          <m:t>n</m:t>
        </m:r>
        <m:r>
          <m:rPr>
            <m:sty m:val="p"/>
          </m:rPr>
          <m:t>*</m:t>
        </m:r>
        <m:r>
          <m:rPr>
            <m:sty m:val="p"/>
          </m:rPr>
          <m:t>*</m:t>
        </m:r>
        <m:r>
          <m:rPr>
            <m:sty m:val="p"/>
          </m:rPr>
          <m:t>,</m:t>
        </m:r>
        <m:r>
          <m:t>w</m:t>
        </m:r>
        <m:r>
          <m:t>h</m:t>
        </m:r>
        <m:r>
          <m:t>i</m:t>
        </m:r>
        <m:r>
          <m:t>l</m:t>
        </m:r>
        <m:r>
          <m:t>e</m:t>
        </m:r>
        <m:r>
          <m:t>p</m:t>
        </m:r>
        <m:r>
          <m:t>r</m:t>
        </m:r>
        <m:r>
          <m:t>o</m:t>
        </m:r>
        <m:r>
          <m:t>f</m:t>
        </m:r>
        <m:r>
          <m:t>o</m:t>
        </m:r>
        <m:r>
          <m:t>r</m:t>
        </m:r>
        <m:r>
          <m:t>m</m:t>
        </m:r>
        <m:r>
          <m:t>a</m:t>
        </m:r>
        <m:r>
          <m:t>E</m:t>
        </m:r>
        <m:r>
          <m:t>P</m:t>
        </m:r>
        <m:r>
          <m:t>S</m:t>
        </m:r>
        <m:r>
          <m:t>i</m:t>
        </m:r>
        <m:r>
          <m:t>n</m:t>
        </m:r>
        <m:r>
          <m:t>c</m:t>
        </m:r>
        <m:r>
          <m:t>r</m:t>
        </m:r>
        <m:r>
          <m:t>e</m:t>
        </m:r>
        <m:r>
          <m:t>a</m:t>
        </m:r>
        <m:r>
          <m:t>s</m:t>
        </m:r>
        <m:r>
          <m:t>e</m:t>
        </m:r>
        <m:r>
          <m:t>d</m:t>
        </m:r>
        <m:r>
          <m:rPr>
            <m:sty m:val="p"/>
          </m:rPr>
          <m:t>*</m:t>
        </m:r>
        <m:r>
          <m:rPr>
            <m:sty m:val="p"/>
          </m:rPr>
          <m:t>*</m:t>
        </m:r>
        <m:r>
          <m:t>29</m:t>
        </m:r>
      </m:oMath>
      <w:r>
        <w:rPr>
          <w:b/>
          <w:bCs/>
        </w:rPr>
        <w:t xml:space="preserve">2.08</w:t>
      </w:r>
      <w:r>
        <w:t xml:space="preserve">. The key question for Q2 is no longer whether core demand is healthy; it is whether the momentum in premium wearables, aviation, and marine can overcome a considerably tougher comparison and justify an increase to full-year guidance.</w:t>
      </w:r>
    </w:p>
    <w:p>
      <w:pPr>
        <w:pStyle w:val="BodyText"/>
      </w:pPr>
      <w:r>
        <w:t xml:space="preserve">The stock closed at</w:t>
      </w:r>
      <w:r>
        <w:t xml:space="preserve"> </w:t>
      </w:r>
      <m:oMath>
        <m:r>
          <m:t>253.69</m:t>
        </m:r>
        <m:r>
          <m:t>o</m:t>
        </m:r>
        <m:r>
          <m:t>n</m:t>
        </m:r>
        <m:r>
          <m:t>J</m:t>
        </m:r>
        <m:r>
          <m:t>u</m:t>
        </m:r>
        <m:r>
          <m:t>l</m:t>
        </m:r>
        <m:r>
          <m:t>y</m:t>
        </m:r>
        <m:r>
          <m:t>28</m:t>
        </m:r>
        <m:r>
          <m:rPr>
            <m:sty m:val="p"/>
          </m:rPr>
          <m:t>*</m:t>
        </m:r>
        <m:r>
          <m:rPr>
            <m:sty m:val="p"/>
          </m:rPr>
          <m:t>*</m:t>
        </m:r>
        <m:r>
          <m:rPr>
            <m:sty m:val="p"/>
          </m:rPr>
          <m:t>,</m:t>
        </m:r>
        <m:r>
          <m:t>e</m:t>
        </m:r>
        <m:r>
          <m:t>s</m:t>
        </m:r>
        <m:r>
          <m:t>s</m:t>
        </m:r>
        <m:r>
          <m:t>e</m:t>
        </m:r>
        <m:r>
          <m:t>n</m:t>
        </m:r>
        <m:r>
          <m:t>t</m:t>
        </m:r>
        <m:r>
          <m:t>i</m:t>
        </m:r>
        <m:r>
          <m:t>a</m:t>
        </m:r>
        <m:r>
          <m:t>l</m:t>
        </m:r>
        <m:r>
          <m:t>l</m:t>
        </m:r>
        <m:r>
          <m:t>y</m:t>
        </m:r>
        <m:r>
          <m:t>b</m:t>
        </m:r>
        <m:r>
          <m:t>a</m:t>
        </m:r>
        <m:r>
          <m:t>c</m:t>
        </m:r>
        <m:r>
          <m:t>k</m:t>
        </m:r>
        <m:r>
          <m:t>n</m:t>
        </m:r>
        <m:r>
          <m:t>e</m:t>
        </m:r>
        <m:r>
          <m:t>a</m:t>
        </m:r>
        <m:r>
          <m:t>r</m:t>
        </m:r>
        <m:r>
          <m:t>i</m:t>
        </m:r>
        <m:r>
          <m:t>t</m:t>
        </m:r>
        <m:r>
          <m:t>s</m:t>
        </m:r>
        <m:r>
          <m:t>p</m:t>
        </m:r>
        <m:r>
          <m:t>r</m:t>
        </m:r>
        <m:r>
          <m:t>e</m:t>
        </m:r>
        <m:r>
          <m:rPr>
            <m:sty m:val="p"/>
          </m:rPr>
          <m:t>−</m:t>
        </m:r>
        <m:r>
          <m:t>Q</m:t>
        </m:r>
        <m:r>
          <m:t>1</m:t>
        </m:r>
        <m:r>
          <m:rPr>
            <m:sty m:val="p"/>
          </m:rPr>
          <m:t>−</m:t>
        </m:r>
        <m:r>
          <m:t>r</m:t>
        </m:r>
        <m:r>
          <m:t>e</m:t>
        </m:r>
        <m:r>
          <m:t>p</m:t>
        </m:r>
        <m:r>
          <m:t>o</m:t>
        </m:r>
        <m:r>
          <m:t>r</m:t>
        </m:r>
        <m:r>
          <m:t>t</m:t>
        </m:r>
        <m:r>
          <m:t>l</m:t>
        </m:r>
        <m:r>
          <m:t>e</m:t>
        </m:r>
        <m:r>
          <m:t>v</m:t>
        </m:r>
        <m:r>
          <m:t>e</m:t>
        </m:r>
        <m:r>
          <m:t>l</m:t>
        </m:r>
        <m:r>
          <m:t>a</m:t>
        </m:r>
        <m:r>
          <m:t>f</m:t>
        </m:r>
        <m:r>
          <m:t>t</m:t>
        </m:r>
        <m:r>
          <m:t>e</m:t>
        </m:r>
        <m:r>
          <m:t>r</m:t>
        </m:r>
        <m:r>
          <m:t>a</m:t>
        </m:r>
        <m:r>
          <m:t>v</m:t>
        </m:r>
        <m:r>
          <m:t>o</m:t>
        </m:r>
        <m:r>
          <m:t>l</m:t>
        </m:r>
        <m:r>
          <m:t>a</m:t>
        </m:r>
        <m:r>
          <m:t>t</m:t>
        </m:r>
        <m:r>
          <m:t>i</m:t>
        </m:r>
        <m:r>
          <m:t>l</m:t>
        </m:r>
        <m:r>
          <m:t>e</m:t>
        </m:r>
        <m:r>
          <m:t>t</m:t>
        </m:r>
        <m:r>
          <m:t>h</m:t>
        </m:r>
        <m:r>
          <m:t>r</m:t>
        </m:r>
        <m:r>
          <m:t>e</m:t>
        </m:r>
        <m:r>
          <m:t>e</m:t>
        </m:r>
        <m:r>
          <m:t>m</m:t>
        </m:r>
        <m:r>
          <m:t>o</m:t>
        </m:r>
        <m:r>
          <m:t>n</m:t>
        </m:r>
        <m:r>
          <m:t>t</m:t>
        </m:r>
        <m:r>
          <m:t>h</m:t>
        </m:r>
        <m:r>
          <m:t>s</m:t>
        </m:r>
        <m:r>
          <m:rPr>
            <m:sty m:val="p"/>
          </m:rPr>
          <m:t>.</m:t>
        </m:r>
        <m:r>
          <m:t>A</m:t>
        </m:r>
        <m:r>
          <m:t>g</m:t>
        </m:r>
        <m:r>
          <m:t>a</m:t>
        </m:r>
        <m:r>
          <m:t>i</m:t>
        </m:r>
        <m:r>
          <m:t>n</m:t>
        </m:r>
        <m:r>
          <m:t>s</m:t>
        </m:r>
        <m:r>
          <m:t>t</m:t>
        </m:r>
        <m:r>
          <m:t>G</m:t>
        </m:r>
        <m:r>
          <m:t>a</m:t>
        </m:r>
        <m:r>
          <m:t>r</m:t>
        </m:r>
        <m:r>
          <m:t>m</m:t>
        </m:r>
        <m:r>
          <m:t>i</m:t>
        </m:r>
        <m:r>
          <m:t>n</m:t>
        </m:r>
        <m:r>
          <m:rPr>
            <m:sty m:val="p"/>
          </m:rPr>
          <m:t>’</m:t>
        </m:r>
        <m:r>
          <m:t>s</m:t>
        </m:r>
        <m:r>
          <m:t>c</m:t>
        </m:r>
        <m:r>
          <m:t>u</m:t>
        </m:r>
        <m:r>
          <m:t>r</m:t>
        </m:r>
        <m:r>
          <m:t>r</m:t>
        </m:r>
        <m:r>
          <m:t>e</m:t>
        </m:r>
        <m:r>
          <m:t>n</m:t>
        </m:r>
        <m:r>
          <m:t>t</m:t>
        </m:r>
        <m:r>
          <m:rPr>
            <m:sty m:val="p"/>
          </m:rPr>
          <m:t>*</m:t>
        </m:r>
        <m:r>
          <m:rPr>
            <m:sty m:val="p"/>
          </m:rPr>
          <m:t>*</m:t>
        </m:r>
      </m:oMath>
      <w:r>
        <w:rPr>
          <w:b/>
          <w:bCs/>
        </w:rPr>
        <w:t xml:space="preserve">9.35</w:t>
      </w:r>
      <w:r>
        <w:t xml:space="preserve"> </w:t>
      </w:r>
      <w:r>
        <w:t xml:space="preserve">full-year pro forma EPS outlook, that implies roughly</w:t>
      </w:r>
      <w:r>
        <w:t xml:space="preserve"> </w:t>
      </w:r>
      <w:r>
        <w:rPr>
          <w:b/>
          <w:bCs/>
        </w:rPr>
        <w:t xml:space="preserve">27.1x</w:t>
      </w:r>
      <w:r>
        <w:t xml:space="preserve"> </w:t>
      </w:r>
      <w:r>
        <w:t xml:space="preserve">forward earnings. The valuation leaves limited room for a merely “good” print: investors will likely want evidence that the Q1 strength was durable and that management’s initial 2026 outlook remains conservative.</w:t>
      </w:r>
    </w:p>
    <w:bookmarkEnd w:id="9"/>
    <w:bookmarkStart w:id="15" w:name="what-matters-most-this-quarter"/>
    <w:p>
      <w:pPr>
        <w:pStyle w:val="Heading2"/>
      </w:pPr>
      <w:r>
        <w:t xml:space="preserve">What matters most this quarter</w:t>
      </w:r>
    </w:p>
    <w:bookmarkStart w:id="10" w:name="X710bfbe6f533ba430febd3317c2c14922cd4f2a"/>
    <w:p>
      <w:pPr>
        <w:pStyle w:val="Heading3"/>
      </w:pPr>
      <w:r>
        <w:t xml:space="preserve">1. Fitness: can Garmin sustain wearable-led share gains?</w:t>
      </w:r>
    </w:p>
    <w:p>
      <w:pPr>
        <w:pStyle w:val="FirstParagraph"/>
      </w:pPr>
      <w:r>
        <w:t xml:space="preserve">Fitness is the primary upside driver. Q1 Fitness revenue grew</w:t>
      </w:r>
      <w:r>
        <w:t xml:space="preserve"> </w:t>
      </w:r>
      <w:r>
        <w:rPr>
          <w:b/>
          <w:bCs/>
        </w:rPr>
        <w:t xml:space="preserve">42%</w:t>
      </w:r>
      <w:r>
        <w:t xml:space="preserve"> </w:t>
      </w:r>
      <w:r>
        <w:t xml:space="preserve">to</w:t>
      </w:r>
      <w:r>
        <w:t xml:space="preserve"> </w:t>
      </w:r>
      <w:r>
        <w:rPr>
          <w:b/>
          <w:bCs/>
        </w:rPr>
        <w:t xml:space="preserve">$547 million</w:t>
      </w:r>
      <w:r>
        <w:t xml:space="preserve">, supported by broad demand across advanced wearables and higher unit volumes. Management characterized market-share gains as meaningful and said demand was strong across both entry and premium price points.</w:t>
      </w:r>
    </w:p>
    <w:p>
      <w:pPr>
        <w:pStyle w:val="BodyText"/>
      </w:pPr>
      <w:r>
        <w:t xml:space="preserve">The Q2 comparison is challenging: Fitness grew</w:t>
      </w:r>
      <w:r>
        <w:t xml:space="preserve"> </w:t>
      </w:r>
      <w:r>
        <w:rPr>
          <w:b/>
          <w:bCs/>
        </w:rPr>
        <w:t xml:space="preserve">41%</w:t>
      </w:r>
      <w:r>
        <w:t xml:space="preserve"> </w:t>
      </w:r>
      <w:r>
        <w:t xml:space="preserve">in Q2 2025, when Garmin generated</w:t>
      </w:r>
      <w:r>
        <w:t xml:space="preserve"> </w:t>
      </w:r>
      <w:r>
        <w:rPr>
          <w:b/>
          <w:bCs/>
        </w:rPr>
        <w:t xml:space="preserve">$605 million</w:t>
      </w:r>
      <w:r>
        <w:t xml:space="preserve"> </w:t>
      </w:r>
      <w:r>
        <w:t xml:space="preserve">of segment revenue. Still, the company has new product and service catalysts, including connected-watch features, health integrations, and continued development of its subscription offerings such as Garmin Connect+. The central read-through will be whether elevated registration rates and wearables demand continued through the June quarter.</w:t>
      </w:r>
    </w:p>
    <w:p>
      <w:pPr>
        <w:pStyle w:val="BodyText"/>
      </w:pPr>
      <w:r>
        <w:rPr>
          <w:b/>
          <w:bCs/>
        </w:rPr>
        <w:t xml:space="preserve">Investor takeaway:</w:t>
      </w:r>
      <w:r>
        <w:t xml:space="preserve"> </w:t>
      </w:r>
      <w:r>
        <w:t xml:space="preserve">Fitness is likely the largest determinant of a guide raise. Sustained double-digit growth against last year’s strong base would reinforce Garmin’s premium-wearable positioning and its ability to grow without depending on a subscription-first model.</w:t>
      </w:r>
    </w:p>
    <w:bookmarkEnd w:id="10"/>
    <w:bookmarkStart w:id="11" w:name="Xd45681a5ce801b8117424d4badfef13314c67de"/>
    <w:p>
      <w:pPr>
        <w:pStyle w:val="Heading3"/>
      </w:pPr>
      <w:r>
        <w:t xml:space="preserve">2. Outdoor: expect another soft quarter, but focus on second-half confidence</w:t>
      </w:r>
    </w:p>
    <w:p>
      <w:pPr>
        <w:pStyle w:val="FirstParagraph"/>
      </w:pPr>
      <w:r>
        <w:t xml:space="preserve">Outdoor declined</w:t>
      </w:r>
      <w:r>
        <w:t xml:space="preserve"> </w:t>
      </w:r>
      <w:r>
        <w:rPr>
          <w:b/>
          <w:bCs/>
        </w:rPr>
        <w:t xml:space="preserve">5%</w:t>
      </w:r>
      <w:r>
        <w:t xml:space="preserve"> </w:t>
      </w:r>
      <w:r>
        <w:t xml:space="preserve">in Q1 to</w:t>
      </w:r>
      <w:r>
        <w:t xml:space="preserve"> </w:t>
      </w:r>
      <w:r>
        <w:rPr>
          <w:b/>
          <w:bCs/>
        </w:rPr>
        <w:t xml:space="preserve">$418 million</w:t>
      </w:r>
      <w:r>
        <w:t xml:space="preserve">, largely due to an unfavorable comparison against the prior-year launch of the Instinct 3 family. Management explicitly said it expected Q2 Outdoor performance to be</w:t>
      </w:r>
      <w:r>
        <w:t xml:space="preserve"> </w:t>
      </w:r>
      <w:r>
        <w:rPr>
          <w:b/>
          <w:bCs/>
        </w:rPr>
        <w:t xml:space="preserve">similar to Q1</w:t>
      </w:r>
      <w:r>
        <w:t xml:space="preserve">, before stronger product-launch-driven growth in the second half.</w:t>
      </w:r>
    </w:p>
    <w:p>
      <w:pPr>
        <w:pStyle w:val="BodyText"/>
      </w:pPr>
      <w:r>
        <w:t xml:space="preserve">That sets a relatively clear expectation: another weak or modestly negative year-over-year Outdoor result should not necessarily be viewed as a thesis break, provided management reiterates or strengthens its outlook for the back half. The important questions are product timing, demand for fēnix and golf devices, and the extent to which newer inReach-enabled products can support both hardware sales and recurring service revenue.</w:t>
      </w:r>
    </w:p>
    <w:p>
      <w:pPr>
        <w:pStyle w:val="BodyText"/>
      </w:pPr>
      <w:r>
        <w:rPr>
          <w:b/>
          <w:bCs/>
        </w:rPr>
        <w:t xml:space="preserve">Investor takeaway:</w:t>
      </w:r>
      <w:r>
        <w:t xml:space="preserve"> </w:t>
      </w:r>
      <w:r>
        <w:t xml:space="preserve">Outdoor is a near-term drag on consolidated growth but a potential second-half inflection. Commentary around launch timing matters more than the headline Q2 growth rate.</w:t>
      </w:r>
    </w:p>
    <w:bookmarkEnd w:id="11"/>
    <w:bookmarkStart w:id="12" w:name="X29f8ab2ee778fa5b9cbb56f6adf3b9f44f5d1f2"/>
    <w:p>
      <w:pPr>
        <w:pStyle w:val="Heading3"/>
      </w:pPr>
      <w:r>
        <w:t xml:space="preserve">3. Aviation remains a high-margin, structurally attractive growth engine</w:t>
      </w:r>
    </w:p>
    <w:p>
      <w:pPr>
        <w:pStyle w:val="FirstParagraph"/>
      </w:pPr>
      <w:r>
        <w:t xml:space="preserve">Aviation delivered</w:t>
      </w:r>
      <w:r>
        <w:t xml:space="preserve"> </w:t>
      </w:r>
      <w:r>
        <w:rPr>
          <w:b/>
          <w:bCs/>
        </w:rPr>
        <w:t xml:space="preserve">18%</w:t>
      </w:r>
      <w:r>
        <w:t xml:space="preserve"> </w:t>
      </w:r>
      <w:r>
        <w:t xml:space="preserve">growth in Q1 to</w:t>
      </w:r>
      <w:r>
        <w:t xml:space="preserve"> </w:t>
      </w:r>
      <w:r>
        <w:rPr>
          <w:b/>
          <w:bCs/>
        </w:rPr>
        <w:t xml:space="preserve">$264 million</w:t>
      </w:r>
      <w:r>
        <w:t xml:space="preserve">, with contributions from both OEM and aftermarket categories. The segment’s</w:t>
      </w:r>
      <w:r>
        <w:t xml:space="preserve"> </w:t>
      </w:r>
      <w:r>
        <w:rPr>
          <w:b/>
          <w:bCs/>
        </w:rPr>
        <w:t xml:space="preserve">75% gross margin</w:t>
      </w:r>
      <w:r>
        <w:t xml:space="preserve"> </w:t>
      </w:r>
      <w:r>
        <w:t xml:space="preserve">makes it especially important to consolidated profitability, even though it is smaller than Fitness and Outdoor.</w:t>
      </w:r>
    </w:p>
    <w:p>
      <w:pPr>
        <w:pStyle w:val="BodyText"/>
      </w:pPr>
      <w:r>
        <w:t xml:space="preserve">Management cited healthy OEM aircraft backlogs and no sign of meaningful purchase hesitancy. Q2 2025 Aviation revenue was</w:t>
      </w:r>
      <w:r>
        <w:t xml:space="preserve"> </w:t>
      </w:r>
      <w:r>
        <w:rPr>
          <w:b/>
          <w:bCs/>
        </w:rPr>
        <w:t xml:space="preserve">$249 million</w:t>
      </w:r>
      <w:r>
        <w:t xml:space="preserve">, up 14% year over year, so another double-digit result would support the view that Garmin’s avionics cycle remains intact. Investors should listen for updates on OEM production cadence, retrofit activity, Autoland adoption, and government/military opportunities.</w:t>
      </w:r>
    </w:p>
    <w:p>
      <w:pPr>
        <w:pStyle w:val="BodyText"/>
      </w:pPr>
      <w:r>
        <w:rPr>
          <w:b/>
          <w:bCs/>
        </w:rPr>
        <w:t xml:space="preserve">Investor takeaway:</w:t>
      </w:r>
      <w:r>
        <w:t xml:space="preserve"> </w:t>
      </w:r>
      <w:r>
        <w:t xml:space="preserve">Aviation is the cleanest quality-growth segment in the portfolio. A deceleration would matter, but continued growth should support the company’s ability to protect margins amid tariff and component-cost headwinds.</w:t>
      </w:r>
    </w:p>
    <w:bookmarkEnd w:id="12"/>
    <w:bookmarkStart w:id="13" w:name="X31750600ce707d1c05557de4d8a9e479b9a8c9d"/>
    <w:p>
      <w:pPr>
        <w:pStyle w:val="Heading3"/>
      </w:pPr>
      <w:r>
        <w:t xml:space="preserve">4. Marine: strong products versus a potentially softer discretionary backdrop</w:t>
      </w:r>
    </w:p>
    <w:p>
      <w:pPr>
        <w:pStyle w:val="FirstParagraph"/>
      </w:pPr>
      <w:r>
        <w:t xml:space="preserve">Marine grew</w:t>
      </w:r>
      <w:r>
        <w:t xml:space="preserve"> </w:t>
      </w:r>
      <w:r>
        <w:rPr>
          <w:b/>
          <w:bCs/>
        </w:rPr>
        <w:t xml:space="preserve">11%</w:t>
      </w:r>
      <w:r>
        <w:t xml:space="preserve"> </w:t>
      </w:r>
      <w:r>
        <w:t xml:space="preserve">in Q1 to</w:t>
      </w:r>
      <w:r>
        <w:t xml:space="preserve"> </w:t>
      </w:r>
      <w:r>
        <w:rPr>
          <w:b/>
          <w:bCs/>
        </w:rPr>
        <w:t xml:space="preserve">$355 million</w:t>
      </w:r>
      <w:r>
        <w:t xml:space="preserve">, aided by broad category strength and deliveries to boat builders. However, management noted that tariff costs pressured segment margins and acknowledged that geopolitical uncertainty and fuel-price concerns could eventually affect discretionary marine demand.</w:t>
      </w:r>
    </w:p>
    <w:p>
      <w:pPr>
        <w:pStyle w:val="BodyText"/>
      </w:pPr>
      <w:r>
        <w:t xml:space="preserve">Q2 2025 revenue of</w:t>
      </w:r>
      <w:r>
        <w:t xml:space="preserve"> </w:t>
      </w:r>
      <w:r>
        <w:rPr>
          <w:b/>
          <w:bCs/>
        </w:rPr>
        <w:t xml:space="preserve">$299 million</w:t>
      </w:r>
      <w:r>
        <w:t xml:space="preserve"> </w:t>
      </w:r>
      <w:r>
        <w:t xml:space="preserve">grew 10%, making the comparison manageable relative to Fitness. New sonar and chartplotter offerings appear to be driving favorable product reception, but investors should watch for commentary on retail sell-through, builder demand, and margin performance.</w:t>
      </w:r>
    </w:p>
    <w:p>
      <w:pPr>
        <w:pStyle w:val="BodyText"/>
      </w:pPr>
      <w:r>
        <w:rPr>
          <w:b/>
          <w:bCs/>
        </w:rPr>
        <w:t xml:space="preserve">Investor takeaway:</w:t>
      </w:r>
      <w:r>
        <w:t xml:space="preserve"> </w:t>
      </w:r>
      <w:r>
        <w:t xml:space="preserve">Revenue growth may remain solid, but Marine is likely the segment most exposed to tariff-related gross-margin pressure and any weakening in high-end discretionary spending.</w:t>
      </w:r>
    </w:p>
    <w:bookmarkEnd w:id="13"/>
    <w:bookmarkStart w:id="14" w:name="Xda4c251645672facc3e83e4c4ffe5f2ba980c49"/>
    <w:p>
      <w:pPr>
        <w:pStyle w:val="Heading3"/>
      </w:pPr>
      <w:r>
        <w:t xml:space="preserve">5. Auto OEM: downside is expected; the issue is magnitude</w:t>
      </w:r>
    </w:p>
    <w:p>
      <w:pPr>
        <w:pStyle w:val="FirstParagraph"/>
      </w:pPr>
      <w:r>
        <w:t xml:space="preserve">Auto OEM was roughly flat in Q1 at</w:t>
      </w:r>
      <w:r>
        <w:t xml:space="preserve"> </w:t>
      </w:r>
      <m:oMath>
        <m:r>
          <m:t>170</m:t>
        </m:r>
        <m:r>
          <m:t>m</m:t>
        </m:r>
        <m:r>
          <m:t>i</m:t>
        </m:r>
        <m:r>
          <m:t>l</m:t>
        </m:r>
        <m:r>
          <m:t>l</m:t>
        </m:r>
        <m:r>
          <m:t>i</m:t>
        </m:r>
        <m:r>
          <m:t>o</m:t>
        </m:r>
        <m:r>
          <m:t>n</m:t>
        </m:r>
        <m:r>
          <m:rPr>
            <m:sty m:val="p"/>
          </m:rPr>
          <m:t>*</m:t>
        </m:r>
        <m:r>
          <m:rPr>
            <m:sty m:val="p"/>
          </m:rPr>
          <m:t>*</m:t>
        </m:r>
        <m:r>
          <m:rPr>
            <m:sty m:val="p"/>
          </m:rPr>
          <m:t>,</m:t>
        </m:r>
        <m:r>
          <m:t>a</m:t>
        </m:r>
        <m:r>
          <m:t>n</m:t>
        </m:r>
        <m:r>
          <m:t>d</m:t>
        </m:r>
        <m:r>
          <m:t>t</m:t>
        </m:r>
        <m:r>
          <m:t>h</m:t>
        </m:r>
        <m:r>
          <m:t>e</m:t>
        </m:r>
        <m:r>
          <m:t>o</m:t>
        </m:r>
        <m:r>
          <m:t>p</m:t>
        </m:r>
        <m:r>
          <m:t>e</m:t>
        </m:r>
        <m:r>
          <m:t>r</m:t>
        </m:r>
        <m:r>
          <m:t>a</m:t>
        </m:r>
        <m:r>
          <m:t>t</m:t>
        </m:r>
        <m:r>
          <m:t>i</m:t>
        </m:r>
        <m:r>
          <m:t>n</m:t>
        </m:r>
        <m:r>
          <m:t>g</m:t>
        </m:r>
        <m:r>
          <m:t>l</m:t>
        </m:r>
        <m:r>
          <m:t>o</m:t>
        </m:r>
        <m:r>
          <m:t>s</m:t>
        </m:r>
        <m:r>
          <m:t>s</m:t>
        </m:r>
        <m:r>
          <m:t>n</m:t>
        </m:r>
        <m:r>
          <m:t>a</m:t>
        </m:r>
        <m:r>
          <m:t>r</m:t>
        </m:r>
        <m:r>
          <m:t>r</m:t>
        </m:r>
        <m:r>
          <m:t>o</m:t>
        </m:r>
        <m:r>
          <m:t>w</m:t>
        </m:r>
        <m:r>
          <m:t>e</m:t>
        </m:r>
        <m:r>
          <m:t>d</m:t>
        </m:r>
        <m:r>
          <m:t>t</m:t>
        </m:r>
        <m:r>
          <m:t>o</m:t>
        </m:r>
        <m:r>
          <m:rPr>
            <m:sty m:val="p"/>
          </m:rPr>
          <m:t>*</m:t>
        </m:r>
        <m:r>
          <m:rPr>
            <m:sty m:val="p"/>
          </m:rPr>
          <m:t>*</m:t>
        </m:r>
      </m:oMath>
      <w:r>
        <w:rPr>
          <w:b/>
          <w:bCs/>
        </w:rPr>
        <w:t xml:space="preserve">6 million</w:t>
      </w:r>
      <w:r>
        <w:t xml:space="preserve">. Management has been clear that 2026 should be a down year for the segment as BMW volumes roll over and legacy programs reach end-of-life; the Mercedes program is expected to become a material growth contributor beginning in 2027.</w:t>
      </w:r>
    </w:p>
    <w:p>
      <w:pPr>
        <w:pStyle w:val="BodyText"/>
      </w:pPr>
      <w:r>
        <w:t xml:space="preserve">Therefore, a Q2 revenue decline should be expected. What matters is whether the decline is orderly, whether losses continue narrowing, and whether Garmin offers any more detail on Mercedes timing, anticipated volumes, or the program’s higher content and ASP profile.</w:t>
      </w:r>
    </w:p>
    <w:p>
      <w:pPr>
        <w:pStyle w:val="BodyText"/>
      </w:pPr>
      <w:r>
        <w:rPr>
          <w:b/>
          <w:bCs/>
        </w:rPr>
        <w:t xml:space="preserve">Investor takeaway:</w:t>
      </w:r>
      <w:r>
        <w:t xml:space="preserve"> </w:t>
      </w:r>
      <w:r>
        <w:t xml:space="preserve">Auto OEM is not the 2026 earnings story, but it is an important 2027 optionality story. A sharper-than-expected drop or widening loss would be a negative surprise.</w:t>
      </w:r>
    </w:p>
    <w:bookmarkEnd w:id="14"/>
    <w:bookmarkEnd w:id="15"/>
    <w:bookmarkStart w:id="16" w:name="guidance-the-pivotal-issue"/>
    <w:p>
      <w:pPr>
        <w:pStyle w:val="Heading2"/>
      </w:pPr>
      <w:r>
        <w:t xml:space="preserve">Guidance: the pivotal issue</w:t>
      </w:r>
    </w:p>
    <w:p>
      <w:pPr>
        <w:pStyle w:val="FirstParagraph"/>
      </w:pPr>
      <w:r>
        <w:t xml:space="preserve">Garmin maintained its full-year 2026 outlook after Q1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company outlook</w:t>
            </w:r>
          </w:p>
        </w:tc>
        <w:tc>
          <w:tcPr/>
          <w:p>
            <w:pPr>
              <w:pStyle w:val="Compact"/>
              <w:jc w:val="right"/>
            </w:pPr>
            <w:r>
              <w:t xml:space="preserve">Guidance</w:t>
            </w:r>
          </w:p>
        </w:tc>
      </w:tr>
      <w:tr>
        <w:tc>
          <w:tcPr/>
          <w:p>
            <w:pPr>
              <w:pStyle w:val="Compact"/>
            </w:pPr>
            <w:r>
              <w:t xml:space="preserve">Revenue</w:t>
            </w:r>
          </w:p>
        </w:tc>
        <w:tc>
          <w:tcPr/>
          <w:p>
            <w:pPr>
              <w:pStyle w:val="Compact"/>
              <w:jc w:val="right"/>
            </w:pPr>
            <w:r>
              <w:rPr>
                <w:b/>
                <w:bCs/>
              </w:rPr>
              <w:t xml:space="preserve">$7.9 billion</w:t>
            </w:r>
          </w:p>
        </w:tc>
      </w:tr>
      <w:tr>
        <w:tc>
          <w:tcPr/>
          <w:p>
            <w:pPr>
              <w:pStyle w:val="Compact"/>
            </w:pPr>
            <w:r>
              <w:t xml:space="preserve">Gross margin</w:t>
            </w:r>
          </w:p>
        </w:tc>
        <w:tc>
          <w:tcPr/>
          <w:p>
            <w:pPr>
              <w:pStyle w:val="Compact"/>
              <w:jc w:val="right"/>
            </w:pPr>
            <w:r>
              <w:rPr>
                <w:b/>
                <w:bCs/>
              </w:rPr>
              <w:t xml:space="preserve">58.5%</w:t>
            </w:r>
          </w:p>
        </w:tc>
      </w:tr>
      <w:tr>
        <w:tc>
          <w:tcPr/>
          <w:p>
            <w:pPr>
              <w:pStyle w:val="Compact"/>
            </w:pPr>
            <w:r>
              <w:t xml:space="preserve">Operating margin</w:t>
            </w:r>
          </w:p>
        </w:tc>
        <w:tc>
          <w:tcPr/>
          <w:p>
            <w:pPr>
              <w:pStyle w:val="Compact"/>
              <w:jc w:val="right"/>
            </w:pPr>
            <w:r>
              <w:rPr>
                <w:b/>
                <w:bCs/>
              </w:rPr>
              <w:t xml:space="preserve">25.5%</w:t>
            </w:r>
          </w:p>
        </w:tc>
      </w:tr>
      <w:tr>
        <w:tc>
          <w:tcPr/>
          <w:p>
            <w:pPr>
              <w:pStyle w:val="Compact"/>
            </w:pPr>
            <w:r>
              <w:t xml:space="preserve">Pro forma tax rate</w:t>
            </w:r>
          </w:p>
        </w:tc>
        <w:tc>
          <w:tcPr/>
          <w:p>
            <w:pPr>
              <w:pStyle w:val="Compact"/>
              <w:jc w:val="right"/>
            </w:pPr>
            <w:r>
              <w:rPr>
                <w:b/>
                <w:bCs/>
              </w:rPr>
              <w:t xml:space="preserve">16.0%</w:t>
            </w:r>
          </w:p>
        </w:tc>
      </w:tr>
      <w:tr>
        <w:tc>
          <w:tcPr/>
          <w:p>
            <w:pPr>
              <w:pStyle w:val="Compact"/>
            </w:pPr>
            <w:r>
              <w:t xml:space="preserve">Pro forma EPS</w:t>
            </w:r>
          </w:p>
        </w:tc>
        <w:tc>
          <w:tcPr/>
          <w:p>
            <w:pPr>
              <w:pStyle w:val="Compact"/>
              <w:jc w:val="right"/>
            </w:pPr>
            <w:r>
              <w:rPr>
                <w:b/>
                <w:bCs/>
              </w:rPr>
              <w:t xml:space="preserve">$9.35</w:t>
            </w:r>
          </w:p>
        </w:tc>
      </w:tr>
    </w:tbl>
    <w:p>
      <w:pPr>
        <w:pStyle w:val="BodyText"/>
      </w:pPr>
      <w:r>
        <w:t xml:space="preserve">The guidance implies</w:t>
      </w:r>
      <w:r>
        <w:t xml:space="preserve"> </w:t>
      </w:r>
      <w:r>
        <w:rPr>
          <w:b/>
          <w:bCs/>
        </w:rPr>
        <w:t xml:space="preserve">9% revenue growth</w:t>
      </w:r>
      <w:r>
        <w:t xml:space="preserve"> </w:t>
      </w:r>
      <w:r>
        <w:t xml:space="preserve">over 2025. After Q1’s 14% growth and substantially stronger-than-guided profitability, the baseline investor debate is whether Garmin has built enough first-half cushion to raise expectations.</w:t>
      </w:r>
    </w:p>
    <w:p>
      <w:pPr>
        <w:pStyle w:val="BodyText"/>
      </w:pPr>
      <w:r>
        <w:t xml:space="preserve">There are reasons for management to remain cautious: Q1 is seasonally its smallest quarter; Outdoor is still working through difficult comparisons; tariffs are an ongoing cost; and the company expects higher component costs to become more visible in 2027. But if Fitness remains strong, Aviation continues to grow at a healthy rate, and Q2 margins hold up, maintaining guidance could be interpreted as conservatism rather than prudence.</w:t>
      </w:r>
    </w:p>
    <w:bookmarkEnd w:id="16"/>
    <w:bookmarkStart w:id="17" w:name="X08805ce49c196c7afe8382ae287482b975e7c47"/>
    <w:p>
      <w:pPr>
        <w:pStyle w:val="Heading2"/>
      </w:pPr>
      <w:r>
        <w:t xml:space="preserve">Margins, tariffs, and inventory: the swing factors beneath EPS</w:t>
      </w:r>
    </w:p>
    <w:p>
      <w:pPr>
        <w:pStyle w:val="FirstParagraph"/>
      </w:pPr>
      <w:r>
        <w:t xml:space="preserve">Q1 consolidated gross margin increased</w:t>
      </w:r>
      <w:r>
        <w:t xml:space="preserve"> </w:t>
      </w:r>
      <w:r>
        <w:rPr>
          <w:b/>
          <w:bCs/>
        </w:rPr>
        <w:t xml:space="preserve">180 basis points</w:t>
      </w:r>
      <w:r>
        <w:t xml:space="preserve"> </w:t>
      </w:r>
      <w:r>
        <w:t xml:space="preserve">year over year to</w:t>
      </w:r>
      <w:r>
        <w:t xml:space="preserve"> </w:t>
      </w:r>
      <w:r>
        <w:rPr>
          <w:b/>
          <w:bCs/>
        </w:rPr>
        <w:t xml:space="preserve">59.4%</w:t>
      </w:r>
      <w:r>
        <w:t xml:space="preserve">, and operating margin rose</w:t>
      </w:r>
      <w:r>
        <w:t xml:space="preserve"> </w:t>
      </w:r>
      <w:r>
        <w:rPr>
          <w:b/>
          <w:bCs/>
        </w:rPr>
        <w:t xml:space="preserve">290 basis points</w:t>
      </w:r>
      <w:r>
        <w:t xml:space="preserve"> </w:t>
      </w:r>
      <w:r>
        <w:t xml:space="preserve">to</w:t>
      </w:r>
      <w:r>
        <w:t xml:space="preserve"> </w:t>
      </w:r>
      <w:r>
        <w:rPr>
          <w:b/>
          <w:bCs/>
        </w:rPr>
        <w:t xml:space="preserve">24.6%</w:t>
      </w:r>
      <w:r>
        <w:t xml:space="preserve">. Favorable foreign exchange helped, while tariffs were a headwind, particularly in Marine.</w:t>
      </w:r>
    </w:p>
    <w:p>
      <w:pPr>
        <w:pStyle w:val="BodyText"/>
      </w:pPr>
      <w:r>
        <w:t xml:space="preserve">Management’s Q1 message was that 2026 cost effects are manageable because Garmin holds safety stock of certain components. That inventory buffer should mute the near-term impact of higher input costs, but it also means investors will be focused on:</w:t>
      </w:r>
    </w:p>
    <w:p>
      <w:pPr>
        <w:pStyle w:val="Compact"/>
        <w:numPr>
          <w:ilvl w:val="0"/>
          <w:numId w:val="1001"/>
        </w:numPr>
      </w:pPr>
      <w:r>
        <w:t xml:space="preserve">Whether tariff costs have worsened or stabilized;</w:t>
      </w:r>
    </w:p>
    <w:p>
      <w:pPr>
        <w:pStyle w:val="Compact"/>
        <w:numPr>
          <w:ilvl w:val="0"/>
          <w:numId w:val="1001"/>
        </w:numPr>
      </w:pPr>
      <w:r>
        <w:t xml:space="preserve">Whether gross margin can remain above the</w:t>
      </w:r>
      <w:r>
        <w:t xml:space="preserve"> </w:t>
      </w:r>
      <w:r>
        <w:rPr>
          <w:b/>
          <w:bCs/>
        </w:rPr>
        <w:t xml:space="preserve">58.5%</w:t>
      </w:r>
      <w:r>
        <w:t xml:space="preserve"> </w:t>
      </w:r>
      <w:r>
        <w:t xml:space="preserve">full-year guide;</w:t>
      </w:r>
    </w:p>
    <w:p>
      <w:pPr>
        <w:pStyle w:val="Compact"/>
        <w:numPr>
          <w:ilvl w:val="0"/>
          <w:numId w:val="1001"/>
        </w:numPr>
      </w:pPr>
      <w:r>
        <w:t xml:space="preserve">Whether inventory, which stood at approximately</w:t>
      </w:r>
      <w:r>
        <w:t xml:space="preserve"> </w:t>
      </w:r>
      <w:r>
        <w:rPr>
          <w:b/>
          <w:bCs/>
        </w:rPr>
        <w:t xml:space="preserve">$1.85 billion</w:t>
      </w:r>
      <w:r>
        <w:t xml:space="preserve"> </w:t>
      </w:r>
      <w:r>
        <w:t xml:space="preserve">at Q1-end, is appropriately supporting demand rather than becoming a working-capital or obsolescence risk;</w:t>
      </w:r>
    </w:p>
    <w:p>
      <w:pPr>
        <w:pStyle w:val="Compact"/>
        <w:numPr>
          <w:ilvl w:val="0"/>
          <w:numId w:val="1001"/>
        </w:numPr>
      </w:pPr>
      <w:r>
        <w:t xml:space="preserve">Whether operating expenses remain disciplined as Garmin continues investing in engineering and product development.</w:t>
      </w:r>
    </w:p>
    <w:bookmarkEnd w:id="17"/>
    <w:bookmarkStart w:id="18" w:name="capital-return-and-balance-sheet-support"/>
    <w:p>
      <w:pPr>
        <w:pStyle w:val="Heading2"/>
      </w:pPr>
      <w:r>
        <w:t xml:space="preserve">Capital return and balance-sheet support</w:t>
      </w:r>
    </w:p>
    <w:p>
      <w:pPr>
        <w:pStyle w:val="FirstParagraph"/>
      </w:pPr>
      <w:r>
        <w:t xml:space="preserve">Garmin exited Q1 with approximately</w:t>
      </w:r>
      <w:r>
        <w:t xml:space="preserve"> </w:t>
      </w:r>
      <m:oMath>
        <m:r>
          <m:t>4.3</m:t>
        </m:r>
        <m:r>
          <m:t>b</m:t>
        </m:r>
        <m:r>
          <m:t>i</m:t>
        </m:r>
        <m:r>
          <m:t>l</m:t>
        </m:r>
        <m:r>
          <m:t>l</m:t>
        </m:r>
        <m:r>
          <m:t>i</m:t>
        </m:r>
        <m:r>
          <m:t>o</m:t>
        </m:r>
        <m:r>
          <m:t>n</m:t>
        </m:r>
        <m:r>
          <m:rPr>
            <m:sty m:val="p"/>
          </m:rPr>
          <m:t>*</m:t>
        </m:r>
        <m:r>
          <m:rPr>
            <m:sty m:val="p"/>
          </m:rPr>
          <m:t>*</m:t>
        </m:r>
        <m:r>
          <m:t>i</m:t>
        </m:r>
        <m:r>
          <m:t>n</m:t>
        </m:r>
        <m:r>
          <m:t>c</m:t>
        </m:r>
        <m:r>
          <m:t>a</m:t>
        </m:r>
        <m:r>
          <m:t>s</m:t>
        </m:r>
        <m:r>
          <m:t>h</m:t>
        </m:r>
        <m:r>
          <m:t>a</m:t>
        </m:r>
        <m:r>
          <m:t>n</m:t>
        </m:r>
        <m:r>
          <m:t>d</m:t>
        </m:r>
        <m:r>
          <m:t>m</m:t>
        </m:r>
        <m:r>
          <m:t>a</m:t>
        </m:r>
        <m:r>
          <m:t>r</m:t>
        </m:r>
        <m:r>
          <m:t>k</m:t>
        </m:r>
        <m:r>
          <m:t>e</m:t>
        </m:r>
        <m:r>
          <m:t>t</m:t>
        </m:r>
        <m:r>
          <m:t>a</m:t>
        </m:r>
        <m:r>
          <m:t>b</m:t>
        </m:r>
        <m:r>
          <m:t>l</m:t>
        </m:r>
        <m:r>
          <m:t>e</m:t>
        </m:r>
        <m:r>
          <m:t>s</m:t>
        </m:r>
        <m:r>
          <m:t>e</m:t>
        </m:r>
        <m:r>
          <m:t>c</m:t>
        </m:r>
        <m:r>
          <m:t>u</m:t>
        </m:r>
        <m:r>
          <m:t>r</m:t>
        </m:r>
        <m:r>
          <m:t>i</m:t>
        </m:r>
        <m:r>
          <m:t>t</m:t>
        </m:r>
        <m:r>
          <m:t>i</m:t>
        </m:r>
        <m:r>
          <m:t>e</m:t>
        </m:r>
        <m:r>
          <m:t>s</m:t>
        </m:r>
        <m:r>
          <m:rPr>
            <m:sty m:val="p"/>
          </m:rPr>
          <m:t>,</m:t>
        </m:r>
        <m:r>
          <m:t>g</m:t>
        </m:r>
        <m:r>
          <m:t>e</m:t>
        </m:r>
        <m:r>
          <m:t>n</m:t>
        </m:r>
        <m:r>
          <m:t>e</m:t>
        </m:r>
        <m:r>
          <m:t>r</m:t>
        </m:r>
        <m:r>
          <m:t>a</m:t>
        </m:r>
        <m:r>
          <m:t>t</m:t>
        </m:r>
        <m:r>
          <m:t>e</m:t>
        </m:r>
        <m:r>
          <m:t>d</m:t>
        </m:r>
        <m:r>
          <m:rPr>
            <m:sty m:val="p"/>
          </m:rPr>
          <m:t>*</m:t>
        </m:r>
        <m:r>
          <m:rPr>
            <m:sty m:val="p"/>
          </m:rPr>
          <m:t>*</m:t>
        </m:r>
      </m:oMath>
      <w:r>
        <w:rPr>
          <w:b/>
          <w:bCs/>
        </w:rPr>
        <w:t xml:space="preserve">469 million</w:t>
      </w:r>
      <w:r>
        <w:t xml:space="preserve"> </w:t>
      </w:r>
      <w:r>
        <w:t xml:space="preserve">in free cash flow during the quarter, and had</w:t>
      </w:r>
      <w:r>
        <w:t xml:space="preserve"> </w:t>
      </w:r>
      <m:oMath>
        <m:r>
          <m:t>491</m:t>
        </m:r>
        <m:r>
          <m:t>m</m:t>
        </m:r>
        <m:r>
          <m:t>i</m:t>
        </m:r>
        <m:r>
          <m:t>l</m:t>
        </m:r>
        <m:r>
          <m:t>l</m:t>
        </m:r>
        <m:r>
          <m:t>i</m:t>
        </m:r>
        <m:r>
          <m:t>o</m:t>
        </m:r>
        <m:r>
          <m:t>n</m:t>
        </m:r>
        <m:r>
          <m:rPr>
            <m:sty m:val="p"/>
          </m:rPr>
          <m:t>*</m:t>
        </m:r>
        <m:r>
          <m:rPr>
            <m:sty m:val="p"/>
          </m:rPr>
          <m:t>*</m:t>
        </m:r>
        <m:r>
          <m:t>r</m:t>
        </m:r>
        <m:r>
          <m:t>e</m:t>
        </m:r>
        <m:r>
          <m:t>m</m:t>
        </m:r>
        <m:r>
          <m:t>a</m:t>
        </m:r>
        <m:r>
          <m:t>i</m:t>
        </m:r>
        <m:r>
          <m:t>n</m:t>
        </m:r>
        <m:r>
          <m:t>i</m:t>
        </m:r>
        <m:r>
          <m:t>n</m:t>
        </m:r>
        <m:r>
          <m:t>g</m:t>
        </m:r>
        <m:r>
          <m:t>u</m:t>
        </m:r>
        <m:r>
          <m:t>n</m:t>
        </m:r>
        <m:r>
          <m:t>d</m:t>
        </m:r>
        <m:r>
          <m:t>e</m:t>
        </m:r>
        <m:r>
          <m:t>r</m:t>
        </m:r>
        <m:r>
          <m:t>i</m:t>
        </m:r>
        <m:r>
          <m:t>t</m:t>
        </m:r>
        <m:r>
          <m:t>s</m:t>
        </m:r>
        <m:r>
          <m:t>s</m:t>
        </m:r>
        <m:r>
          <m:t>h</m:t>
        </m:r>
        <m:r>
          <m:t>a</m:t>
        </m:r>
        <m:r>
          <m:t>r</m:t>
        </m:r>
        <m:r>
          <m:t>e</m:t>
        </m:r>
        <m:r>
          <m:rPr>
            <m:sty m:val="p"/>
          </m:rPr>
          <m:t>−</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t>T</m:t>
        </m:r>
        <m:r>
          <m:t>h</m:t>
        </m:r>
        <m:r>
          <m:t>e</m:t>
        </m:r>
        <m:r>
          <m:t>c</m:t>
        </m:r>
        <m:r>
          <m:t>o</m:t>
        </m:r>
        <m:r>
          <m:t>m</m:t>
        </m:r>
        <m:r>
          <m:t>p</m:t>
        </m:r>
        <m:r>
          <m:t>a</m:t>
        </m:r>
        <m:r>
          <m:t>n</m:t>
        </m:r>
        <m:r>
          <m:t>y</m:t>
        </m:r>
        <m:r>
          <m:rPr>
            <m:sty m:val="p"/>
          </m:rPr>
          <m:t>’</m:t>
        </m:r>
        <m:r>
          <m:t>s</m:t>
        </m:r>
        <m:r>
          <m:t>a</m:t>
        </m:r>
        <m:r>
          <m:t>n</m:t>
        </m:r>
        <m:r>
          <m:t>n</m:t>
        </m:r>
        <m:r>
          <m:t>u</m:t>
        </m:r>
        <m:r>
          <m:t>a</m:t>
        </m:r>
        <m:r>
          <m:t>l</m:t>
        </m:r>
        <m:r>
          <m:t>i</m:t>
        </m:r>
        <m:r>
          <m:t>z</m:t>
        </m:r>
        <m:r>
          <m:t>e</m:t>
        </m:r>
        <m:r>
          <m:t>d</m:t>
        </m:r>
        <m:r>
          <m:t>d</m:t>
        </m:r>
        <m:r>
          <m:t>i</m:t>
        </m:r>
        <m:r>
          <m:t>v</m:t>
        </m:r>
        <m:r>
          <m:t>i</m:t>
        </m:r>
        <m:r>
          <m:t>d</m:t>
        </m:r>
        <m:r>
          <m:t>e</m:t>
        </m:r>
        <m:r>
          <m:t>n</m:t>
        </m:r>
        <m:r>
          <m:t>d</m:t>
        </m:r>
        <m:r>
          <m:t>i</m:t>
        </m:r>
        <m:r>
          <m:t>s</m:t>
        </m:r>
        <m:r>
          <m:rPr>
            <m:sty m:val="p"/>
          </m:rPr>
          <m:t>*</m:t>
        </m:r>
        <m:r>
          <m:rPr>
            <m:sty m:val="p"/>
          </m:rPr>
          <m:t>*</m:t>
        </m:r>
      </m:oMath>
      <w:r>
        <w:rPr>
          <w:b/>
          <w:bCs/>
        </w:rPr>
        <w:t xml:space="preserve">4.20 per share</w:t>
      </w:r>
      <w:r>
        <w:t xml:space="preserve">, equating to an indicated yield of about</w:t>
      </w:r>
      <w:r>
        <w:t xml:space="preserve"> </w:t>
      </w:r>
      <w:r>
        <w:rPr>
          <w:b/>
          <w:bCs/>
        </w:rPr>
        <w:t xml:space="preserve">1.7%</w:t>
      </w:r>
      <w:r>
        <w:t xml:space="preserve"> </w:t>
      </w:r>
      <w:r>
        <w:t xml:space="preserve">at the July 28 closing price.</w:t>
      </w:r>
    </w:p>
    <w:p>
      <w:pPr>
        <w:pStyle w:val="BodyText"/>
      </w:pPr>
      <w:r>
        <w:t xml:space="preserve">This balance-sheet strength does not eliminate execution risk, but it does provide support for continued dividends, buybacks, product investment, and selective M&amp;A.</w:t>
      </w:r>
    </w:p>
    <w:bookmarkEnd w:id="18"/>
    <w:bookmarkStart w:id="21" w:name="Xdf636eae653815a4755a326a7ea05cd03c22af7"/>
    <w:p>
      <w:pPr>
        <w:pStyle w:val="Heading2"/>
      </w:pPr>
      <w:r>
        <w:t xml:space="preserve">What would constitute a bullish versus bearish report?</w:t>
      </w:r>
    </w:p>
    <w:bookmarkStart w:id="19" w:name="bullish-outcome"/>
    <w:p>
      <w:pPr>
        <w:pStyle w:val="Heading3"/>
      </w:pPr>
      <w:r>
        <w:t xml:space="preserve">Bullish outcome</w:t>
      </w:r>
    </w:p>
    <w:p>
      <w:pPr>
        <w:pStyle w:val="Compact"/>
        <w:numPr>
          <w:ilvl w:val="0"/>
          <w:numId w:val="1002"/>
        </w:numPr>
      </w:pPr>
      <w:r>
        <w:t xml:space="preserve">Fitness maintains clearly above-market growth despite the difficult comparison.</w:t>
      </w:r>
    </w:p>
    <w:p>
      <w:pPr>
        <w:pStyle w:val="Compact"/>
        <w:numPr>
          <w:ilvl w:val="0"/>
          <w:numId w:val="1002"/>
        </w:numPr>
      </w:pPr>
      <w:r>
        <w:t xml:space="preserve">Aviation and Marine sustain double-digit growth.</w:t>
      </w:r>
    </w:p>
    <w:p>
      <w:pPr>
        <w:pStyle w:val="Compact"/>
        <w:numPr>
          <w:ilvl w:val="0"/>
          <w:numId w:val="1002"/>
        </w:numPr>
      </w:pPr>
      <w:r>
        <w:t xml:space="preserve">Outdoor is soft as expected, but management reinforces a second-half recovery.</w:t>
      </w:r>
    </w:p>
    <w:p>
      <w:pPr>
        <w:pStyle w:val="Compact"/>
        <w:numPr>
          <w:ilvl w:val="0"/>
          <w:numId w:val="1002"/>
        </w:numPr>
      </w:pPr>
      <w:r>
        <w:t xml:space="preserve">Gross margin remains resilient despite tariffs.</w:t>
      </w:r>
    </w:p>
    <w:p>
      <w:pPr>
        <w:pStyle w:val="Compact"/>
        <w:numPr>
          <w:ilvl w:val="0"/>
          <w:numId w:val="1002"/>
        </w:numPr>
      </w:pPr>
      <w:r>
        <w:t xml:space="preserve">Garmin raises, or at minimum strongly de-risks, its</w:t>
      </w:r>
      <w:r>
        <w:t xml:space="preserve"> </w:t>
      </w:r>
      <w:r>
        <w:rPr>
          <w:b/>
          <w:bCs/>
        </w:rPr>
        <w:t xml:space="preserve">$7.9 billion / $9.35 EPS</w:t>
      </w:r>
      <w:r>
        <w:t xml:space="preserve"> </w:t>
      </w:r>
      <w:r>
        <w:t xml:space="preserve">full-year outlook.</w:t>
      </w:r>
    </w:p>
    <w:bookmarkEnd w:id="19"/>
    <w:bookmarkStart w:id="20" w:name="bearish-outcome"/>
    <w:p>
      <w:pPr>
        <w:pStyle w:val="Heading3"/>
      </w:pPr>
      <w:r>
        <w:t xml:space="preserve">Bearish outcome</w:t>
      </w:r>
    </w:p>
    <w:p>
      <w:pPr>
        <w:pStyle w:val="Compact"/>
        <w:numPr>
          <w:ilvl w:val="0"/>
          <w:numId w:val="1003"/>
        </w:numPr>
      </w:pPr>
      <w:r>
        <w:t xml:space="preserve">Wearables growth slows sharply or shows evidence of competitive pressure.</w:t>
      </w:r>
    </w:p>
    <w:p>
      <w:pPr>
        <w:pStyle w:val="Compact"/>
        <w:numPr>
          <w:ilvl w:val="0"/>
          <w:numId w:val="1003"/>
        </w:numPr>
      </w:pPr>
      <w:r>
        <w:t xml:space="preserve">Marine demand or profitability deteriorates due to discretionary-spending weakness, tariffs, or builder softness.</w:t>
      </w:r>
    </w:p>
    <w:p>
      <w:pPr>
        <w:pStyle w:val="Compact"/>
        <w:numPr>
          <w:ilvl w:val="0"/>
          <w:numId w:val="1003"/>
        </w:numPr>
      </w:pPr>
      <w:r>
        <w:t xml:space="preserve">Outdoor weakness extends beyond management’s expected Q2 lull.</w:t>
      </w:r>
    </w:p>
    <w:p>
      <w:pPr>
        <w:pStyle w:val="Compact"/>
        <w:numPr>
          <w:ilvl w:val="0"/>
          <w:numId w:val="1003"/>
        </w:numPr>
      </w:pPr>
      <w:r>
        <w:t xml:space="preserve">Tariff and component-cost commentary points to greater 2026 margin pressure.</w:t>
      </w:r>
    </w:p>
    <w:p>
      <w:pPr>
        <w:pStyle w:val="Compact"/>
        <w:numPr>
          <w:ilvl w:val="0"/>
          <w:numId w:val="1003"/>
        </w:numPr>
      </w:pPr>
      <w:r>
        <w:t xml:space="preserve">Garmin maintains guidance while signaling less confidence in second-half launches or consumer demand.</w:t>
      </w:r>
    </w:p>
    <w:bookmarkEnd w:id="20"/>
    <w:bookmarkEnd w:id="21"/>
    <w:bookmarkStart w:id="22" w:name="bottom-line"/>
    <w:p>
      <w:pPr>
        <w:pStyle w:val="Heading2"/>
      </w:pPr>
      <w:r>
        <w:t xml:space="preserve">Bottom line</w:t>
      </w:r>
    </w:p>
    <w:p>
      <w:pPr>
        <w:pStyle w:val="FirstParagraph"/>
      </w:pPr>
      <w:r>
        <w:t xml:space="preserve">GRMN’s Q2 setup is fundamentally positive but demanding. Q1 established powerful momentum in Fitness, Aviation, and Marine, while Garmin’s product breadth, premium positioning, high-margin aviation exposure, and net-cash balance sheet remain differentiated strengths. The challenge is that the market now likely expects more than a beat: it wants proof that wearable-led growth is sustainable, that margins can absorb tariffs, and that full-year guidance has upside.</w:t>
      </w:r>
    </w:p>
    <w:p>
      <w:pPr>
        <w:pStyle w:val="BodyText"/>
      </w:pPr>
      <w:r>
        <w:t xml:space="preserve">The most important datapoints will be</w:t>
      </w:r>
      <w:r>
        <w:t xml:space="preserve"> </w:t>
      </w:r>
      <w:r>
        <w:rPr>
          <w:b/>
          <w:bCs/>
        </w:rPr>
        <w:t xml:space="preserve">Fitness growth</w:t>
      </w:r>
      <w:r>
        <w:t xml:space="preserve">,</w:t>
      </w:r>
      <w:r>
        <w:t xml:space="preserve"> </w:t>
      </w:r>
      <w:r>
        <w:rPr>
          <w:b/>
          <w:bCs/>
        </w:rPr>
        <w:t xml:space="preserve">gross-margin performance</w:t>
      </w:r>
      <w:r>
        <w:t xml:space="preserve">,</w:t>
      </w:r>
      <w:r>
        <w:t xml:space="preserve"> </w:t>
      </w:r>
      <w:r>
        <w:rPr>
          <w:b/>
          <w:bCs/>
        </w:rPr>
        <w:t xml:space="preserve">Outdoor’s second-half outlook</w:t>
      </w:r>
      <w:r>
        <w:t xml:space="preserve">, and any change in confidence around full-year 2026 guidance.</w:t>
      </w:r>
    </w:p>
    <w:p>
      <w:pPr>
        <w:pStyle w:val="BodyText"/>
      </w:pPr>
      <w:r>
        <w:rPr>
          <w:i/>
          <w:iCs/>
        </w:rPr>
        <w:t xml:space="preserve">Sources: Garmin Q1 2026 earnings release and conference-call transcript; Garmin FY2025/Q4 2025 earnings release; Garmin Q2 2025 earnings release; Garmin’s June 24, 2026 Q2 earnings-call scheduling announcement; GRMN historical share-price data through July 28,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2026-07-29T01:00:36Z</dcterms:created>
  <dcterms:modified xsi:type="dcterms:W3CDTF">2026-07-29T01:00:36Z</dcterms:modified>
</cp:coreProperties>
</file>

<file path=docProps/custom.xml><?xml version="1.0" encoding="utf-8"?>
<Properties xmlns="http://schemas.openxmlformats.org/officeDocument/2006/custom-properties" xmlns:vt="http://schemas.openxmlformats.org/officeDocument/2006/docPropsVTypes"/>
</file>