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rmn-earnings-predictions--2026-07-29"/>
    <w:p>
      <w:pPr>
        <w:pStyle w:val="Heading1"/>
      </w:pPr>
      <w:r>
        <w:t xml:space="preserve">GRMN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— Fitness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~$740M vs. cons $703.8M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— Outdoor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~$420M vs. cons $483.0M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—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~$2.40 vs. cons $2.29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~$8.0B maintained vs. cons $8.022B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Operating FY2026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~$9.35 reiterated vs. cons $9.578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Outdoor H2 tone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Reaffirmed but with caveats vs. 'stronger back half' language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(FADE)</w:t>
            </w:r>
          </w:p>
        </w:tc>
        <w:tc>
          <w:tcPr/>
          <w:p>
            <w:pPr>
              <w:pStyle w:val="Compact"/>
            </w:pPr>
            <w:r>
              <w:t xml:space="preserve">FADE — Outdoor miss pulls H2 Outdoor estimates down; EPS guide reiteration at $9.35 forces sell-side cuts below current $9.578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2026-07-31T21:30:25Z</dcterms:created>
  <dcterms:modified xsi:type="dcterms:W3CDTF">2026-07-31T21:30:25Z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