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Garmin Ltd. (GRMN)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Garmin Ltd.</w:t>
            </w:r>
          </w:p>
        </w:tc>
        <w:tc>
          <w:tcPr>
            <w:tcW w:type="dxa" w:w="2160"/>
          </w:tcPr>
          <w:p>
            <w:r>
              <w:rPr>
                <w:rFonts w:ascii="Calibri" w:hAnsi="Calibri"/>
                <w:b/>
                <w:sz w:val="22"/>
              </w:rPr>
              <w:t>Ticker</w:t>
            </w:r>
          </w:p>
        </w:tc>
        <w:tc>
          <w:tcPr>
            <w:tcW w:type="dxa" w:w="2160"/>
          </w:tcPr>
          <w:p>
            <w:r>
              <w:rPr>
                <w:rFonts w:ascii="Calibri" w:hAnsi="Calibri"/>
                <w:sz w:val="22"/>
              </w:rPr>
              <w:t>GRMN (NYSE)</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28, 2026)</w:t>
            </w:r>
          </w:p>
        </w:tc>
        <w:tc>
          <w:tcPr>
            <w:tcW w:type="dxa" w:w="2160"/>
          </w:tcPr>
          <w:p>
            <w:r>
              <w:rPr>
                <w:rFonts w:ascii="Calibri" w:hAnsi="Calibri"/>
                <w:b/>
                <w:sz w:val="22"/>
              </w:rPr>
              <w:t>Earnings Date</w:t>
            </w:r>
          </w:p>
        </w:tc>
        <w:tc>
          <w:tcPr>
            <w:tcW w:type="dxa" w:w="2160"/>
          </w:tcPr>
          <w:p>
            <w:r>
              <w:rPr>
                <w:rFonts w:ascii="Calibri" w:hAnsi="Calibri"/>
                <w:sz w:val="22"/>
              </w:rPr>
              <w:t>July 29, 2026 (pre-market)</w:t>
            </w:r>
          </w:p>
        </w:tc>
      </w:tr>
      <w:tr>
        <w:tc>
          <w:tcPr>
            <w:tcW w:type="dxa" w:w="2160"/>
          </w:tcPr>
          <w:p>
            <w:r>
              <w:rPr>
                <w:rFonts w:ascii="Calibri" w:hAnsi="Calibri"/>
                <w:b/>
                <w:sz w:val="22"/>
              </w:rPr>
              <w:t>Prepared</w:t>
            </w:r>
          </w:p>
        </w:tc>
        <w:tc>
          <w:tcPr>
            <w:tcW w:type="dxa" w:w="2160"/>
          </w:tcPr>
          <w:p>
            <w:r>
              <w:rPr>
                <w:rFonts w:ascii="Calibri" w:hAnsi="Calibri"/>
                <w:sz w:val="22"/>
              </w:rPr>
              <w:t>July 28, 2026</w:t>
            </w:r>
          </w:p>
        </w:tc>
        <w:tc>
          <w:tcPr>
            <w:tcW w:type="dxa" w:w="2160"/>
          </w:tcPr>
          <w:p>
            <w:r>
              <w:rPr>
                <w:rFonts w:ascii="Calibri" w:hAnsi="Calibri"/>
                <w:b/>
                <w:sz w:val="22"/>
              </w:rPr>
              <w:t>Last Earnings</w:t>
            </w:r>
          </w:p>
        </w:tc>
        <w:tc>
          <w:tcPr>
            <w:tcW w:type="dxa" w:w="2160"/>
          </w:tcPr>
          <w:p>
            <w:r>
              <w:rPr>
                <w:rFonts w:ascii="Calibri" w:hAnsi="Calibri"/>
                <w:sz w:val="22"/>
              </w:rPr>
              <w:t>April 29,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sits below Q1’s run-rate on most metrics, and the biggest swing factor is whether the </w:t>
      </w:r>
      <w:r>
        <w:rPr>
          <w:rFonts w:ascii="Calibri" w:hAnsi="Calibri"/>
          <w:b/>
          <w:color w:val="525866"/>
          <w:sz w:val="22"/>
        </w:rPr>
        <w:t>Outdoor segment can stabilize</w:t>
      </w:r>
      <w:r>
        <w:rPr>
          <w:rFonts w:ascii="Calibri" w:hAnsi="Calibri"/>
          <w:color w:val="525866"/>
          <w:sz w:val="22"/>
        </w:rPr>
        <w:t xml:space="preserve"> after its Q1 miss, while Fitness momentum continues to carry the print.</w:t>
      </w:r>
    </w:p>
    <w:p>
      <w:r>
        <w:rPr>
          <w:rFonts w:ascii="Calibri" w:hAnsi="Calibri"/>
          <w:color w:val="525866"/>
          <w:sz w:val="22"/>
        </w:rPr>
        <w:t xml:space="preserve">Heading into Q2 2026, Garmin’s bar looks achievable: consensus revenue of </w:t>
      </w:r>
      <w:r>
        <w:rPr>
          <w:rFonts w:ascii="Calibri" w:hAnsi="Calibri"/>
          <w:b/>
          <w:color w:val="525866"/>
          <w:sz w:val="22"/>
        </w:rPr>
        <w:t>$1.94B</w:t>
      </w:r>
      <w:r>
        <w:rPr>
          <w:rFonts w:ascii="Calibri" w:hAnsi="Calibri"/>
          <w:color w:val="525866"/>
          <w:sz w:val="22"/>
        </w:rPr>
        <w:t xml:space="preserve"> implies ~7% YoY growth, a step-down from Q1’s 14% pace that reflects the known Outdoor headwind management flagged on the April 29 call. Management explicitly guided Q2 Outdoor to be “similar to Q1” (i.e., another year-over-year decline), so the Street has already de-risked that segment — the question is whether Fitness can again surprise to the upside and whether Aviation and Marine hold their momentum. Tone from the Q1 call was </w:t>
      </w:r>
      <w:r>
        <w:rPr>
          <w:rFonts w:ascii="Calibri" w:hAnsi="Calibri"/>
          <w:b/>
          <w:color w:val="525866"/>
          <w:sz w:val="22"/>
        </w:rPr>
        <w:t>cautiously optimistic</w:t>
      </w:r>
      <w:r>
        <w:rPr>
          <w:rFonts w:ascii="Calibri" w:hAnsi="Calibri"/>
          <w:color w:val="525866"/>
          <w:sz w:val="22"/>
        </w:rPr>
        <w:t xml:space="preserve">: CEO Cliff Pemble described demand trends as “consistent and very strong,” registration rates as robust, and the consumer base as “more resilient than average.” Management maintained full-year guidance of ~$7.9B revenue and $9.35 pro forma EPS rather than raising it, consistent with their typical practice of updating as the year unfolds — a posture that left estimates largely unchanged post-Q1. Estimate revisions have been modestly positive since the Q1 print: Q2 EPS consensus moved from ~$2.13 (pre-Q1) to ~$2.29 currently, and FY2026 EPS from ~$9.35 to ~$9.58, suggesting the Street is building in modest upside but not pricing in a blowout. The stock is roughly flat since the Q1 earnings date (down ~4% vs. S&amp;P 500 up ~4%), meaning the multiple has compressed slightly — the stock is not pricing in a beat, which is a constructive setup. The </w:t>
      </w:r>
      <w:r>
        <w:rPr>
          <w:rFonts w:ascii="Calibri" w:hAnsi="Calibri"/>
          <w:b/>
          <w:color w:val="525866"/>
          <w:sz w:val="22"/>
        </w:rPr>
        <w:t>key wildcard</w:t>
      </w:r>
      <w:r>
        <w:rPr>
          <w:rFonts w:ascii="Calibri" w:hAnsi="Calibri"/>
          <w:color w:val="525866"/>
          <w:sz w:val="22"/>
        </w:rPr>
        <w:t xml:space="preserve"> is the Outdoor segment: any sign of stabilization or early new-product traction in the back half could re-rate the stock, while a second consecutive miss would pressure the full-year growth narrative.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revenue and EPS, but the </w:t>
      </w:r>
      <w:r>
        <w:rPr>
          <w:rFonts w:ascii="Calibri" w:hAnsi="Calibri"/>
          <w:b/>
          <w:color w:val="525866"/>
          <w:sz w:val="22"/>
        </w:rPr>
        <w:t>Outdoor segment</w:t>
      </w:r>
      <w:r>
        <w:rPr>
          <w:rFonts w:ascii="Calibri" w:hAnsi="Calibri"/>
          <w:color w:val="525866"/>
          <w:sz w:val="22"/>
        </w:rPr>
        <w:t xml:space="preserve"> is the key swing factor — guided to another YoY decline, any upside surprise there would be the biggest driver of a positive stock reaction. Fitness remains the primary growth engine and the metric analysts will scrutinize most.</w:t>
      </w:r>
    </w:p>
    <w:p>
      <w:pPr>
        <w:pStyle w:val="Heading3"/>
      </w:pPr>
      <w:r>
        <w:rPr>
          <w:rFonts w:ascii="Calibri" w:hAnsi="Calibri"/>
          <w:b/>
          <w:color w:val="3B4259"/>
          <w:sz w:val="24"/>
        </w:rPr>
        <w:t>Table 1 — Current Quarter Snapshot (Q2 2026 Consensus vs. Prior Periods)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w:t>
            </w:r>
          </w:p>
        </w:tc>
        <w:tc>
          <w:tcPr>
            <w:tcW w:type="dxa" w:w="1440"/>
            <w:shd w:val="clear" w:color="auto" w:fill="3B4259"/>
          </w:tcPr>
          <w:p>
            <w:r>
              <w:rPr>
                <w:rFonts w:ascii="Calibri" w:hAnsi="Calibri"/>
                <w:b/>
                <w:color w:val="FFFFFF"/>
                <w:sz w:val="22"/>
              </w:rPr>
              <w:t>Q2 2026 Consensus Est.</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FY2026 Guidance</w:t>
            </w:r>
          </w:p>
        </w:tc>
      </w:tr>
      <w:tr>
        <w:tc>
          <w:tcPr>
            <w:tcW w:type="dxa" w:w="1440"/>
          </w:tcPr>
          <w:p>
            <w:r>
              <w:rPr>
                <w:rFonts w:ascii="Calibri" w:hAnsi="Calibri"/>
                <w:sz w:val="22"/>
              </w:rPr>
              <w:t>Net Sales (Total)</w:t>
            </w:r>
          </w:p>
        </w:tc>
        <w:tc>
          <w:tcPr>
            <w:tcW w:type="dxa" w:w="1440"/>
          </w:tcPr>
          <w:p>
            <w:r>
              <w:rPr>
                <w:rFonts w:ascii="Calibri" w:hAnsi="Calibri"/>
                <w:sz w:val="22"/>
              </w:rPr>
              <w:t>$1,753M</w:t>
            </w:r>
          </w:p>
        </w:tc>
        <w:tc>
          <w:tcPr>
            <w:tcW w:type="dxa" w:w="1440"/>
          </w:tcPr>
          <w:p>
            <w:r>
              <w:rPr>
                <w:rFonts w:ascii="Calibri" w:hAnsi="Calibri"/>
                <w:sz w:val="22"/>
              </w:rPr>
              <w:t>$1,815M</w:t>
            </w:r>
          </w:p>
        </w:tc>
        <w:tc>
          <w:tcPr>
            <w:tcW w:type="dxa" w:w="1440"/>
          </w:tcPr>
          <w:p>
            <w:r>
              <w:rPr>
                <w:rFonts w:ascii="Calibri" w:hAnsi="Calibri"/>
                <w:sz w:val="22"/>
              </w:rPr>
              <w:t>$1,937M</w:t>
            </w:r>
          </w:p>
        </w:tc>
        <w:tc>
          <w:tcPr>
            <w:tcW w:type="dxa" w:w="1440"/>
          </w:tcPr>
          <w:p>
            <w:r>
              <w:rPr>
                <w:rFonts w:ascii="Calibri" w:hAnsi="Calibri"/>
                <w:sz w:val="22"/>
              </w:rPr>
              <w:t>+6.7%</w:t>
            </w:r>
          </w:p>
        </w:tc>
        <w:tc>
          <w:tcPr>
            <w:tcW w:type="dxa" w:w="1440"/>
          </w:tcPr>
          <w:p>
            <w:r>
              <w:rPr>
                <w:rFonts w:ascii="Calibri" w:hAnsi="Calibri"/>
                <w:sz w:val="22"/>
              </w:rPr>
              <w:t>~$7,900M</w:t>
            </w:r>
          </w:p>
        </w:tc>
      </w:tr>
      <w:tr>
        <w:tc>
          <w:tcPr>
            <w:tcW w:type="dxa" w:w="1440"/>
          </w:tcPr>
          <w:p>
            <w:r>
              <w:rPr>
                <w:rFonts w:ascii="Calibri" w:hAnsi="Calibri"/>
                <w:sz w:val="22"/>
              </w:rPr>
              <w:t>EPS — Diluted Operating</w:t>
            </w:r>
          </w:p>
        </w:tc>
        <w:tc>
          <w:tcPr>
            <w:tcW w:type="dxa" w:w="1440"/>
          </w:tcPr>
          <w:p>
            <w:r>
              <w:rPr>
                <w:rFonts w:ascii="Calibri" w:hAnsi="Calibri"/>
                <w:sz w:val="22"/>
              </w:rPr>
              <w:t>$2.08</w:t>
            </w:r>
          </w:p>
        </w:tc>
        <w:tc>
          <w:tcPr>
            <w:tcW w:type="dxa" w:w="1440"/>
          </w:tcPr>
          <w:p>
            <w:r>
              <w:rPr>
                <w:rFonts w:ascii="Calibri" w:hAnsi="Calibri"/>
                <w:sz w:val="22"/>
              </w:rPr>
              <w:t>$2.17</w:t>
            </w:r>
          </w:p>
        </w:tc>
        <w:tc>
          <w:tcPr>
            <w:tcW w:type="dxa" w:w="1440"/>
          </w:tcPr>
          <w:p>
            <w:r>
              <w:rPr>
                <w:rFonts w:ascii="Calibri" w:hAnsi="Calibri"/>
                <w:sz w:val="22"/>
              </w:rPr>
              <w:t>$2.29</w:t>
            </w:r>
          </w:p>
        </w:tc>
        <w:tc>
          <w:tcPr>
            <w:tcW w:type="dxa" w:w="1440"/>
          </w:tcPr>
          <w:p>
            <w:r>
              <w:rPr>
                <w:rFonts w:ascii="Calibri" w:hAnsi="Calibri"/>
                <w:sz w:val="22"/>
              </w:rPr>
              <w:t>+5.5%</w:t>
            </w:r>
          </w:p>
        </w:tc>
        <w:tc>
          <w:tcPr>
            <w:tcW w:type="dxa" w:w="1440"/>
          </w:tcPr>
          <w:p>
            <w:r>
              <w:rPr>
                <w:rFonts w:ascii="Calibri" w:hAnsi="Calibri"/>
                <w:sz w:val="22"/>
              </w:rPr>
              <w:t>$9.35</w:t>
            </w:r>
          </w:p>
        </w:tc>
      </w:tr>
      <w:tr>
        <w:tc>
          <w:tcPr>
            <w:tcW w:type="dxa" w:w="1440"/>
          </w:tcPr>
          <w:p>
            <w:r>
              <w:rPr>
                <w:rFonts w:ascii="Calibri" w:hAnsi="Calibri"/>
                <w:sz w:val="22"/>
              </w:rPr>
              <w:t>Net Sales — Fitness</w:t>
            </w:r>
          </w:p>
        </w:tc>
        <w:tc>
          <w:tcPr>
            <w:tcW w:type="dxa" w:w="1440"/>
          </w:tcPr>
          <w:p>
            <w:r>
              <w:rPr>
                <w:rFonts w:ascii="Calibri" w:hAnsi="Calibri"/>
                <w:sz w:val="22"/>
              </w:rPr>
              <w:t>$547M</w:t>
            </w:r>
          </w:p>
        </w:tc>
        <w:tc>
          <w:tcPr>
            <w:tcW w:type="dxa" w:w="1440"/>
          </w:tcPr>
          <w:p>
            <w:r>
              <w:rPr>
                <w:rFonts w:ascii="Calibri" w:hAnsi="Calibri"/>
                <w:sz w:val="22"/>
              </w:rPr>
              <w:t>$605M</w:t>
            </w:r>
          </w:p>
        </w:tc>
        <w:tc>
          <w:tcPr>
            <w:tcW w:type="dxa" w:w="1440"/>
          </w:tcPr>
          <w:p>
            <w:r>
              <w:rPr>
                <w:rFonts w:ascii="Calibri" w:hAnsi="Calibri"/>
                <w:sz w:val="22"/>
              </w:rPr>
              <w:t>$704M</w:t>
            </w:r>
          </w:p>
        </w:tc>
        <w:tc>
          <w:tcPr>
            <w:tcW w:type="dxa" w:w="1440"/>
          </w:tcPr>
          <w:p>
            <w:r>
              <w:rPr>
                <w:rFonts w:ascii="Calibri" w:hAnsi="Calibri"/>
                <w:sz w:val="22"/>
              </w:rPr>
              <w:t>+16.3%</w:t>
            </w:r>
          </w:p>
        </w:tc>
        <w:tc>
          <w:tcPr>
            <w:tcW w:type="dxa" w:w="1440"/>
          </w:tcPr>
          <w:p>
            <w:r>
              <w:rPr>
                <w:rFonts w:ascii="Calibri" w:hAnsi="Calibri"/>
                <w:sz w:val="22"/>
              </w:rPr>
              <w:t>Strongest contributor to growth</w:t>
            </w:r>
          </w:p>
        </w:tc>
      </w:tr>
      <w:tr>
        <w:tc>
          <w:tcPr>
            <w:tcW w:type="dxa" w:w="1440"/>
          </w:tcPr>
          <w:p>
            <w:r>
              <w:rPr>
                <w:rFonts w:ascii="Calibri" w:hAnsi="Calibri"/>
                <w:sz w:val="22"/>
              </w:rPr>
              <w:t>Net Sales — Outdoor</w:t>
            </w:r>
          </w:p>
        </w:tc>
        <w:tc>
          <w:tcPr>
            <w:tcW w:type="dxa" w:w="1440"/>
          </w:tcPr>
          <w:p>
            <w:r>
              <w:rPr>
                <w:rFonts w:ascii="Calibri" w:hAnsi="Calibri"/>
                <w:sz w:val="22"/>
              </w:rPr>
              <w:t>$418M</w:t>
            </w:r>
          </w:p>
        </w:tc>
        <w:tc>
          <w:tcPr>
            <w:tcW w:type="dxa" w:w="1440"/>
          </w:tcPr>
          <w:p>
            <w:r>
              <w:rPr>
                <w:rFonts w:ascii="Calibri" w:hAnsi="Calibri"/>
                <w:sz w:val="22"/>
              </w:rPr>
              <w:t>$490M</w:t>
            </w:r>
          </w:p>
        </w:tc>
        <w:tc>
          <w:tcPr>
            <w:tcW w:type="dxa" w:w="1440"/>
          </w:tcPr>
          <w:p>
            <w:r>
              <w:rPr>
                <w:rFonts w:ascii="Calibri" w:hAnsi="Calibri"/>
                <w:sz w:val="22"/>
              </w:rPr>
              <w:t>$483M</w:t>
            </w:r>
          </w:p>
        </w:tc>
        <w:tc>
          <w:tcPr>
            <w:tcW w:type="dxa" w:w="1440"/>
          </w:tcPr>
          <w:p>
            <w:r>
              <w:rPr>
                <w:rFonts w:ascii="Calibri" w:hAnsi="Calibri"/>
                <w:sz w:val="22"/>
              </w:rPr>
              <w:t>-1.5%</w:t>
            </w:r>
          </w:p>
        </w:tc>
        <w:tc>
          <w:tcPr>
            <w:tcW w:type="dxa" w:w="1440"/>
          </w:tcPr>
          <w:p>
            <w:r>
              <w:rPr>
                <w:rFonts w:ascii="Calibri" w:hAnsi="Calibri"/>
                <w:sz w:val="22"/>
              </w:rPr>
              <w:t>Similar to Q1 (YoY decline); back-half recovery expected</w:t>
            </w:r>
          </w:p>
        </w:tc>
      </w:tr>
      <w:tr>
        <w:tc>
          <w:tcPr>
            <w:tcW w:type="dxa" w:w="1440"/>
          </w:tcPr>
          <w:p>
            <w:r>
              <w:rPr>
                <w:rFonts w:ascii="Calibri" w:hAnsi="Calibri"/>
                <w:sz w:val="22"/>
              </w:rPr>
              <w:t>Net Sales — Aviation</w:t>
            </w:r>
          </w:p>
        </w:tc>
        <w:tc>
          <w:tcPr>
            <w:tcW w:type="dxa" w:w="1440"/>
          </w:tcPr>
          <w:p>
            <w:r>
              <w:rPr>
                <w:rFonts w:ascii="Calibri" w:hAnsi="Calibri"/>
                <w:sz w:val="22"/>
              </w:rPr>
              <w:t>$264M</w:t>
            </w:r>
          </w:p>
        </w:tc>
        <w:tc>
          <w:tcPr>
            <w:tcW w:type="dxa" w:w="1440"/>
          </w:tcPr>
          <w:p>
            <w:r>
              <w:rPr>
                <w:rFonts w:ascii="Calibri" w:hAnsi="Calibri"/>
                <w:sz w:val="22"/>
              </w:rPr>
              <w:t>$249M</w:t>
            </w:r>
          </w:p>
        </w:tc>
        <w:tc>
          <w:tcPr>
            <w:tcW w:type="dxa" w:w="1440"/>
          </w:tcPr>
          <w:p>
            <w:r>
              <w:rPr>
                <w:rFonts w:ascii="Calibri" w:hAnsi="Calibri"/>
                <w:sz w:val="22"/>
              </w:rPr>
              <w:t>$268M</w:t>
            </w:r>
          </w:p>
        </w:tc>
        <w:tc>
          <w:tcPr>
            <w:tcW w:type="dxa" w:w="1440"/>
          </w:tcPr>
          <w:p>
            <w:r>
              <w:rPr>
                <w:rFonts w:ascii="Calibri" w:hAnsi="Calibri"/>
                <w:sz w:val="22"/>
              </w:rPr>
              <w:t>+7.5%</w:t>
            </w:r>
          </w:p>
        </w:tc>
        <w:tc>
          <w:tcPr>
            <w:tcW w:type="dxa" w:w="1440"/>
          </w:tcPr>
          <w:p>
            <w:r>
              <w:rPr>
                <w:rFonts w:ascii="Calibri" w:hAnsi="Calibri"/>
                <w:sz w:val="22"/>
              </w:rPr>
              <w:t>Solid growth throughout year</w:t>
            </w:r>
          </w:p>
        </w:tc>
      </w:tr>
      <w:tr>
        <w:tc>
          <w:tcPr>
            <w:tcW w:type="dxa" w:w="1440"/>
          </w:tcPr>
          <w:p>
            <w:r>
              <w:rPr>
                <w:rFonts w:ascii="Calibri" w:hAnsi="Calibri"/>
                <w:sz w:val="22"/>
              </w:rPr>
              <w:t>Net Sales — Marine</w:t>
            </w:r>
          </w:p>
        </w:tc>
        <w:tc>
          <w:tcPr>
            <w:tcW w:type="dxa" w:w="1440"/>
          </w:tcPr>
          <w:p>
            <w:r>
              <w:rPr>
                <w:rFonts w:ascii="Calibri" w:hAnsi="Calibri"/>
                <w:sz w:val="22"/>
              </w:rPr>
              <w:t>$355M</w:t>
            </w:r>
          </w:p>
        </w:tc>
        <w:tc>
          <w:tcPr>
            <w:tcW w:type="dxa" w:w="1440"/>
          </w:tcPr>
          <w:p>
            <w:r>
              <w:rPr>
                <w:rFonts w:ascii="Calibri" w:hAnsi="Calibri"/>
                <w:sz w:val="22"/>
              </w:rPr>
              <w:t>$299M</w:t>
            </w:r>
          </w:p>
        </w:tc>
        <w:tc>
          <w:tcPr>
            <w:tcW w:type="dxa" w:w="1440"/>
          </w:tcPr>
          <w:p>
            <w:r>
              <w:rPr>
                <w:rFonts w:ascii="Calibri" w:hAnsi="Calibri"/>
                <w:sz w:val="22"/>
              </w:rPr>
              <w:t>$320M</w:t>
            </w:r>
          </w:p>
        </w:tc>
        <w:tc>
          <w:tcPr>
            <w:tcW w:type="dxa" w:w="1440"/>
          </w:tcPr>
          <w:p>
            <w:r>
              <w:rPr>
                <w:rFonts w:ascii="Calibri" w:hAnsi="Calibri"/>
                <w:sz w:val="22"/>
              </w:rPr>
              <w:t>+7.0%</w:t>
            </w:r>
          </w:p>
        </w:tc>
        <w:tc>
          <w:tcPr>
            <w:tcW w:type="dxa" w:w="1440"/>
          </w:tcPr>
          <w:p>
            <w:r>
              <w:rPr>
                <w:rFonts w:ascii="Calibri" w:hAnsi="Calibri"/>
                <w:sz w:val="22"/>
              </w:rPr>
              <w:t>On track with prior year growth</w:t>
            </w:r>
          </w:p>
        </w:tc>
      </w:tr>
      <w:tr>
        <w:tc>
          <w:tcPr>
            <w:tcW w:type="dxa" w:w="1440"/>
          </w:tcPr>
          <w:p>
            <w:r>
              <w:rPr>
                <w:rFonts w:ascii="Calibri" w:hAnsi="Calibri"/>
                <w:sz w:val="22"/>
              </w:rPr>
              <w:t>Net Sales — Auto OEM</w:t>
            </w:r>
          </w:p>
        </w:tc>
        <w:tc>
          <w:tcPr>
            <w:tcW w:type="dxa" w:w="1440"/>
          </w:tcPr>
          <w:p>
            <w:r>
              <w:rPr>
                <w:rFonts w:ascii="Calibri" w:hAnsi="Calibri"/>
                <w:sz w:val="22"/>
              </w:rPr>
              <w:t>$170M</w:t>
            </w:r>
          </w:p>
        </w:tc>
        <w:tc>
          <w:tcPr>
            <w:tcW w:type="dxa" w:w="1440"/>
          </w:tcPr>
          <w:p>
            <w:r>
              <w:rPr>
                <w:rFonts w:ascii="Calibri" w:hAnsi="Calibri"/>
                <w:sz w:val="22"/>
              </w:rPr>
              <w:t>$170M</w:t>
            </w:r>
          </w:p>
        </w:tc>
        <w:tc>
          <w:tcPr>
            <w:tcW w:type="dxa" w:w="1440"/>
          </w:tcPr>
          <w:p>
            <w:r>
              <w:rPr>
                <w:rFonts w:ascii="Calibri" w:hAnsi="Calibri"/>
                <w:sz w:val="22"/>
              </w:rPr>
              <w:t>$162M</w:t>
            </w:r>
          </w:p>
        </w:tc>
        <w:tc>
          <w:tcPr>
            <w:tcW w:type="dxa" w:w="1440"/>
          </w:tcPr>
          <w:p>
            <w:r>
              <w:rPr>
                <w:rFonts w:ascii="Calibri" w:hAnsi="Calibri"/>
                <w:sz w:val="22"/>
              </w:rPr>
              <w:t>-4.8%</w:t>
            </w:r>
          </w:p>
        </w:tc>
        <w:tc>
          <w:tcPr>
            <w:tcW w:type="dxa" w:w="1440"/>
          </w:tcPr>
          <w:p>
            <w:r>
              <w:rPr>
                <w:rFonts w:ascii="Calibri" w:hAnsi="Calibri"/>
                <w:sz w:val="22"/>
              </w:rPr>
              <w:t>Decrease in 2026; loss to narrow vs. 2025</w:t>
            </w:r>
          </w:p>
        </w:tc>
      </w:tr>
      <w:tr>
        <w:tc>
          <w:tcPr>
            <w:tcW w:type="dxa" w:w="1440"/>
          </w:tcPr>
          <w:p>
            <w:r>
              <w:rPr>
                <w:rFonts w:ascii="Calibri" w:hAnsi="Calibri"/>
                <w:sz w:val="22"/>
              </w:rPr>
              <w:t>Gross Profit</w:t>
            </w:r>
          </w:p>
        </w:tc>
        <w:tc>
          <w:tcPr>
            <w:tcW w:type="dxa" w:w="1440"/>
          </w:tcPr>
          <w:p>
            <w:r>
              <w:rPr>
                <w:rFonts w:ascii="Calibri" w:hAnsi="Calibri"/>
                <w:sz w:val="22"/>
              </w:rPr>
              <w:t>$1,042M</w:t>
            </w:r>
          </w:p>
        </w:tc>
        <w:tc>
          <w:tcPr>
            <w:tcW w:type="dxa" w:w="1440"/>
          </w:tcPr>
          <w:p>
            <w:r>
              <w:rPr>
                <w:rFonts w:ascii="Calibri" w:hAnsi="Calibri"/>
                <w:sz w:val="22"/>
              </w:rPr>
              <w:t>$1,067M</w:t>
            </w:r>
          </w:p>
        </w:tc>
        <w:tc>
          <w:tcPr>
            <w:tcW w:type="dxa" w:w="1440"/>
          </w:tcPr>
          <w:p>
            <w:r>
              <w:rPr>
                <w:rFonts w:ascii="Calibri" w:hAnsi="Calibri"/>
                <w:sz w:val="22"/>
              </w:rPr>
              <w:t>$1,137M</w:t>
            </w:r>
          </w:p>
        </w:tc>
        <w:tc>
          <w:tcPr>
            <w:tcW w:type="dxa" w:w="1440"/>
          </w:tcPr>
          <w:p>
            <w:r>
              <w:rPr>
                <w:rFonts w:ascii="Calibri" w:hAnsi="Calibri"/>
                <w:sz w:val="22"/>
              </w:rPr>
              <w:t>+6.6%</w:t>
            </w:r>
          </w:p>
        </w:tc>
        <w:tc>
          <w:tcPr>
            <w:tcW w:type="dxa" w:w="1440"/>
          </w:tcPr>
          <w:p>
            <w:r>
              <w:rPr>
                <w:rFonts w:ascii="Calibri" w:hAnsi="Calibri"/>
                <w:sz w:val="22"/>
              </w:rPr>
              <w:t>N/A (segment-level)</w:t>
            </w:r>
          </w:p>
        </w:tc>
      </w:tr>
      <w:tr>
        <w:tc>
          <w:tcPr>
            <w:tcW w:type="dxa" w:w="1440"/>
          </w:tcPr>
          <w:p>
            <w:r>
              <w:rPr>
                <w:rFonts w:ascii="Calibri" w:hAnsi="Calibri"/>
                <w:sz w:val="22"/>
              </w:rPr>
              <w:t>Operating Income</w:t>
            </w:r>
          </w:p>
        </w:tc>
        <w:tc>
          <w:tcPr>
            <w:tcW w:type="dxa" w:w="1440"/>
          </w:tcPr>
          <w:p>
            <w:r>
              <w:rPr>
                <w:rFonts w:ascii="Calibri" w:hAnsi="Calibri"/>
                <w:sz w:val="22"/>
              </w:rPr>
              <w:t>$432M</w:t>
            </w:r>
          </w:p>
        </w:tc>
        <w:tc>
          <w:tcPr>
            <w:tcW w:type="dxa" w:w="1440"/>
          </w:tcPr>
          <w:p>
            <w:r>
              <w:rPr>
                <w:rFonts w:ascii="Calibri" w:hAnsi="Calibri"/>
                <w:sz w:val="22"/>
              </w:rPr>
              <w:t>$472M</w:t>
            </w:r>
          </w:p>
        </w:tc>
        <w:tc>
          <w:tcPr>
            <w:tcW w:type="dxa" w:w="1440"/>
          </w:tcPr>
          <w:p>
            <w:r>
              <w:rPr>
                <w:rFonts w:ascii="Calibri" w:hAnsi="Calibri"/>
                <w:sz w:val="22"/>
              </w:rPr>
              <w:t>$501M</w:t>
            </w:r>
          </w:p>
        </w:tc>
        <w:tc>
          <w:tcPr>
            <w:tcW w:type="dxa" w:w="1440"/>
          </w:tcPr>
          <w:p>
            <w:r>
              <w:rPr>
                <w:rFonts w:ascii="Calibri" w:hAnsi="Calibri"/>
                <w:sz w:val="22"/>
              </w:rPr>
              <w:t>+6.1%</w:t>
            </w:r>
          </w:p>
        </w:tc>
        <w:tc>
          <w:tcPr>
            <w:tcW w:type="dxa" w:w="1440"/>
          </w:tcPr>
          <w:p>
            <w:r>
              <w:rPr>
                <w:rFonts w:ascii="Calibri" w:hAnsi="Calibri"/>
                <w:sz w:val="22"/>
              </w:rPr>
              <w:t>Opex % of sales relatively consistent YoY</w:t>
            </w:r>
          </w:p>
        </w:tc>
      </w:tr>
    </w:tbl>
    <w:p>
      <w:r>
        <w:rPr>
          <w:rFonts w:ascii="Calibri" w:hAnsi="Calibri"/>
          <w:i/>
          <w:color w:val="525866"/>
          <w:sz w:val="22"/>
        </w:rPr>
        <w:t>Sources: Visible Alpha Consensus and Actuals Data</w:t>
      </w:r>
      <w:r>
        <w:rPr>
          <w:rFonts w:ascii="Calibri" w:hAnsi="Calibri"/>
          <w:color w:val="525866"/>
          <w:sz w:val="22"/>
        </w:rPr>
        <w:t xml:space="preserve"> — Net Sales, EPS – Diluted – Operating, segment revenues, Gross Profit, Operating Income for GRMN. FY2026 guidance from Q1 2026 earnings release (April 29,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Net Sales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$1,753</w:t>
            </w:r>
          </w:p>
        </w:tc>
        <w:tc>
          <w:tcPr>
            <w:tcW w:type="dxa" w:w="1728"/>
          </w:tcPr>
          <w:p>
            <w:r>
              <w:rPr>
                <w:rFonts w:ascii="Calibri" w:hAnsi="Calibri"/>
                <w:sz w:val="22"/>
              </w:rPr>
              <w:t>$1,715</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$2,125</w:t>
            </w:r>
          </w:p>
        </w:tc>
        <w:tc>
          <w:tcPr>
            <w:tcW w:type="dxa" w:w="1728"/>
          </w:tcPr>
          <w:p>
            <w:r>
              <w:rPr>
                <w:rFonts w:ascii="Calibri" w:hAnsi="Calibri"/>
                <w:sz w:val="22"/>
              </w:rPr>
              <w:t>$2,022</w:t>
            </w:r>
          </w:p>
        </w:tc>
        <w:tc>
          <w:tcPr>
            <w:tcW w:type="dxa" w:w="1728"/>
          </w:tcPr>
          <w:p>
            <w:r>
              <w:rPr>
                <w:rFonts w:ascii="Calibri" w:hAnsi="Calibri"/>
                <w:b/>
                <w:color w:val="30A46C"/>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$1,771</w:t>
            </w:r>
          </w:p>
        </w:tc>
        <w:tc>
          <w:tcPr>
            <w:tcW w:type="dxa" w:w="1728"/>
          </w:tcPr>
          <w:p>
            <w:r>
              <w:rPr>
                <w:rFonts w:ascii="Calibri" w:hAnsi="Calibri"/>
                <w:sz w:val="22"/>
              </w:rPr>
              <w:t>$1,798</w:t>
            </w:r>
          </w:p>
        </w:tc>
        <w:tc>
          <w:tcPr>
            <w:tcW w:type="dxa" w:w="1728"/>
          </w:tcPr>
          <w:p>
            <w:r>
              <w:rPr>
                <w:rFonts w:ascii="Calibri" w:hAnsi="Calibri"/>
                <w:b/>
                <w:color w:val="E5484D"/>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$1,815</w:t>
            </w:r>
          </w:p>
        </w:tc>
        <w:tc>
          <w:tcPr>
            <w:tcW w:type="dxa" w:w="1728"/>
          </w:tcPr>
          <w:p>
            <w:r>
              <w:rPr>
                <w:rFonts w:ascii="Calibri" w:hAnsi="Calibri"/>
                <w:sz w:val="22"/>
              </w:rPr>
              <w:t>$1,751</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$1,535</w:t>
            </w:r>
          </w:p>
        </w:tc>
        <w:tc>
          <w:tcPr>
            <w:tcW w:type="dxa" w:w="1728"/>
          </w:tcPr>
          <w:p>
            <w:r>
              <w:rPr>
                <w:rFonts w:ascii="Calibri" w:hAnsi="Calibri"/>
                <w:sz w:val="22"/>
              </w:rPr>
              <w:t>$1,520</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$1,823</w:t>
            </w:r>
          </w:p>
        </w:tc>
        <w:tc>
          <w:tcPr>
            <w:tcW w:type="dxa" w:w="1728"/>
          </w:tcPr>
          <w:p>
            <w:r>
              <w:rPr>
                <w:rFonts w:ascii="Calibri" w:hAnsi="Calibri"/>
                <w:sz w:val="22"/>
              </w:rPr>
              <w:t>$1,732</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$1,586</w:t>
            </w:r>
          </w:p>
        </w:tc>
        <w:tc>
          <w:tcPr>
            <w:tcW w:type="dxa" w:w="1728"/>
          </w:tcPr>
          <w:p>
            <w:r>
              <w:rPr>
                <w:rFonts w:ascii="Calibri" w:hAnsi="Calibri"/>
                <w:sz w:val="22"/>
              </w:rPr>
              <w:t>$1,445</w:t>
            </w:r>
          </w:p>
        </w:tc>
        <w:tc>
          <w:tcPr>
            <w:tcW w:type="dxa" w:w="1728"/>
          </w:tcPr>
          <w:p>
            <w:r>
              <w:rPr>
                <w:rFonts w:ascii="Calibri" w:hAnsi="Calibri"/>
                <w:b/>
                <w:color w:val="30A46C"/>
                <w:sz w:val="22"/>
              </w:rPr>
              <w:t>+9.8%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$1,535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Garmin has beaten revenue consensus in 6 of the last 7 reported quarters, with the sole miss in Q3 2025 driven by the Outdoor segment shortfall. The consistent beat pattern reflects management’s conservative guidance philosophy, though the magnitude of beats has varied widely (from +1% to nearly +10%).</w:t>
      </w:r>
    </w:p>
    <w:p>
      <w:pPr>
        <w:pStyle w:val="Heading4"/>
      </w:pPr>
      <w:r>
        <w:rPr>
          <w:rFonts w:ascii="Calibri" w:hAnsi="Calibri"/>
          <w:b/>
          <w:color w:val="3B4259"/>
          <w:sz w:val="22"/>
        </w:rPr>
        <w:t>Top KPI #2: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$2.08</w:t>
            </w:r>
          </w:p>
        </w:tc>
        <w:tc>
          <w:tcPr>
            <w:tcW w:type="dxa" w:w="1728"/>
          </w:tcPr>
          <w:p>
            <w:r>
              <w:rPr>
                <w:rFonts w:ascii="Calibri" w:hAnsi="Calibri"/>
                <w:sz w:val="22"/>
              </w:rPr>
              <w:t>$1.84</w:t>
            </w:r>
          </w:p>
        </w:tc>
        <w:tc>
          <w:tcPr>
            <w:tcW w:type="dxa" w:w="1728"/>
          </w:tcPr>
          <w:p>
            <w:r>
              <w:rPr>
                <w:rFonts w:ascii="Calibri" w:hAnsi="Calibri"/>
                <w:b/>
                <w:color w:val="30A46C"/>
                <w:sz w:val="22"/>
              </w:rPr>
              <w:t>+13.0%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$2.73</w:t>
            </w:r>
          </w:p>
        </w:tc>
        <w:tc>
          <w:tcPr>
            <w:tcW w:type="dxa" w:w="1728"/>
          </w:tcPr>
          <w:p>
            <w:r>
              <w:rPr>
                <w:rFonts w:ascii="Calibri" w:hAnsi="Calibri"/>
                <w:sz w:val="22"/>
              </w:rPr>
              <w:t>$2.45</w:t>
            </w:r>
          </w:p>
        </w:tc>
        <w:tc>
          <w:tcPr>
            <w:tcW w:type="dxa" w:w="1728"/>
          </w:tcPr>
          <w:p>
            <w:r>
              <w:rPr>
                <w:rFonts w:ascii="Calibri" w:hAnsi="Calibri"/>
                <w:b/>
                <w:color w:val="30A46C"/>
                <w:sz w:val="22"/>
              </w:rPr>
              <w:t>+11.4%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$1.99</w:t>
            </w:r>
          </w:p>
        </w:tc>
        <w:tc>
          <w:tcPr>
            <w:tcW w:type="dxa" w:w="1728"/>
          </w:tcPr>
          <w:p>
            <w:r>
              <w:rPr>
                <w:rFonts w:ascii="Calibri" w:hAnsi="Calibri"/>
                <w:sz w:val="22"/>
              </w:rPr>
              <w:t>$2.08</w:t>
            </w:r>
          </w:p>
        </w:tc>
        <w:tc>
          <w:tcPr>
            <w:tcW w:type="dxa" w:w="1728"/>
          </w:tcPr>
          <w:p>
            <w:r>
              <w:rPr>
                <w:rFonts w:ascii="Calibri" w:hAnsi="Calibri"/>
                <w:b/>
                <w:color w:val="E5484D"/>
                <w:sz w:val="22"/>
              </w:rPr>
              <w:t>-4.3%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$2.17</w:t>
            </w:r>
          </w:p>
        </w:tc>
        <w:tc>
          <w:tcPr>
            <w:tcW w:type="dxa" w:w="1728"/>
          </w:tcPr>
          <w:p>
            <w:r>
              <w:rPr>
                <w:rFonts w:ascii="Calibri" w:hAnsi="Calibri"/>
                <w:sz w:val="22"/>
              </w:rPr>
              <w:t>$2.00</w:t>
            </w:r>
          </w:p>
        </w:tc>
        <w:tc>
          <w:tcPr>
            <w:tcW w:type="dxa" w:w="1728"/>
          </w:tcPr>
          <w:p>
            <w:r>
              <w:rPr>
                <w:rFonts w:ascii="Calibri" w:hAnsi="Calibri"/>
                <w:b/>
                <w:color w:val="30A46C"/>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$1.72</w:t>
            </w:r>
          </w:p>
        </w:tc>
        <w:tc>
          <w:tcPr>
            <w:tcW w:type="dxa" w:w="1728"/>
          </w:tcPr>
          <w:p>
            <w:r>
              <w:rPr>
                <w:rFonts w:ascii="Calibri" w:hAnsi="Calibri"/>
                <w:sz w:val="22"/>
              </w:rPr>
              <w:t>$1.65</w:t>
            </w:r>
          </w:p>
        </w:tc>
        <w:tc>
          <w:tcPr>
            <w:tcW w:type="dxa" w:w="1728"/>
          </w:tcPr>
          <w:p>
            <w:r>
              <w:rPr>
                <w:rFonts w:ascii="Calibri" w:hAnsi="Calibri"/>
                <w:b/>
                <w:color w:val="30A46C"/>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$2.25</w:t>
            </w:r>
          </w:p>
        </w:tc>
        <w:tc>
          <w:tcPr>
            <w:tcW w:type="dxa" w:w="1728"/>
          </w:tcPr>
          <w:p>
            <w:r>
              <w:rPr>
                <w:rFonts w:ascii="Calibri" w:hAnsi="Calibri"/>
                <w:sz w:val="22"/>
              </w:rPr>
              <w:t>$2.12</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$1.99</w:t>
            </w:r>
          </w:p>
        </w:tc>
        <w:tc>
          <w:tcPr>
            <w:tcW w:type="dxa" w:w="1728"/>
          </w:tcPr>
          <w:p>
            <w:r>
              <w:rPr>
                <w:rFonts w:ascii="Calibri" w:hAnsi="Calibri"/>
                <w:sz w:val="22"/>
              </w:rPr>
              <w:t>$1.44</w:t>
            </w:r>
          </w:p>
        </w:tc>
        <w:tc>
          <w:tcPr>
            <w:tcW w:type="dxa" w:w="1728"/>
          </w:tcPr>
          <w:p>
            <w:r>
              <w:rPr>
                <w:rFonts w:ascii="Calibri" w:hAnsi="Calibri"/>
                <w:b/>
                <w:color w:val="30A46C"/>
                <w:sz w:val="22"/>
              </w:rPr>
              <w:t>+38.2%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$1.35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Garmin has beaten EPS consensus in 6 of the last 7 reported quarters, with beats averaging well above 10% in recent periods. The sole miss (Q3 2025) coincided with the Outdoor segment shortfall. The large Q3 2024 beat (+38%) reflects a period where consensus was particularly conservative. The consistent EPS outperformance reflects both revenue upside and operating leverage.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maintained full-year guidance unchanged after Q1’s strong beat — consistent with their typical conservative posture — and provided only qualitative Q2 color (Outdoor similar to Q1). No post-earnings guidance revisions have been issued. Tone is </w:t>
      </w:r>
      <w:r>
        <w:rPr>
          <w:rFonts w:ascii="Calibri" w:hAnsi="Calibri"/>
          <w:b/>
          <w:color w:val="525866"/>
          <w:sz w:val="22"/>
        </w:rPr>
        <w:t>cautiously optimistic</w:t>
      </w:r>
      <w:r>
        <w:rPr>
          <w:rFonts w:ascii="Calibri" w:hAnsi="Calibri"/>
          <w:color w:val="525866"/>
          <w:sz w:val="22"/>
        </w:rPr>
        <w:t xml:space="preserve"> with demand described as strong and resilient.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~$7,900M</w:t>
            </w:r>
          </w:p>
        </w:tc>
        <w:tc>
          <w:tcPr>
            <w:tcW w:type="dxa" w:w="1728"/>
          </w:tcPr>
          <w:p>
            <w:r>
              <w:rPr>
                <w:rFonts w:ascii="Calibri" w:hAnsi="Calibri"/>
                <w:sz w:val="22"/>
              </w:rPr>
              <w:t>—</w:t>
            </w:r>
          </w:p>
        </w:tc>
        <w:tc>
          <w:tcPr>
            <w:tcW w:type="dxa" w:w="1728"/>
          </w:tcPr>
          <w:p>
            <w:r>
              <w:rPr>
                <w:rFonts w:ascii="Calibri" w:hAnsi="Calibri"/>
                <w:sz w:val="22"/>
              </w:rPr>
              <w:t>$8,022M</w:t>
            </w:r>
          </w:p>
        </w:tc>
        <w:tc>
          <w:tcPr>
            <w:tcW w:type="dxa" w:w="1728"/>
          </w:tcPr>
          <w:p>
            <w:r>
              <w:rPr>
                <w:rFonts w:ascii="Calibri" w:hAnsi="Calibri"/>
                <w:sz w:val="22"/>
              </w:rPr>
              <w:t>Maintained from Feb 2026; consensus sits ~1.5% above midpoint, reflecting Street’s expectation of modest upside</w:t>
            </w:r>
          </w:p>
        </w:tc>
      </w:tr>
      <w:tr>
        <w:tc>
          <w:tcPr>
            <w:tcW w:type="dxa" w:w="1728"/>
          </w:tcPr>
          <w:p>
            <w:r>
              <w:rPr>
                <w:rFonts w:ascii="Calibri" w:hAnsi="Calibri"/>
                <w:sz w:val="22"/>
              </w:rPr>
              <w:t>FY2026 Pro Forma EPS</w:t>
            </w:r>
          </w:p>
        </w:tc>
        <w:tc>
          <w:tcPr>
            <w:tcW w:type="dxa" w:w="1728"/>
          </w:tcPr>
          <w:p>
            <w:r>
              <w:rPr>
                <w:rFonts w:ascii="Calibri" w:hAnsi="Calibri"/>
                <w:sz w:val="22"/>
              </w:rPr>
              <w:t>$9.35</w:t>
            </w:r>
          </w:p>
        </w:tc>
        <w:tc>
          <w:tcPr>
            <w:tcW w:type="dxa" w:w="1728"/>
          </w:tcPr>
          <w:p>
            <w:r>
              <w:rPr>
                <w:rFonts w:ascii="Calibri" w:hAnsi="Calibri"/>
                <w:sz w:val="22"/>
              </w:rPr>
              <w:t>—</w:t>
            </w:r>
          </w:p>
        </w:tc>
        <w:tc>
          <w:tcPr>
            <w:tcW w:type="dxa" w:w="1728"/>
          </w:tcPr>
          <w:p>
            <w:r>
              <w:rPr>
                <w:rFonts w:ascii="Calibri" w:hAnsi="Calibri"/>
                <w:sz w:val="22"/>
              </w:rPr>
              <w:t>$9.58</w:t>
            </w:r>
          </w:p>
        </w:tc>
        <w:tc>
          <w:tcPr>
            <w:tcW w:type="dxa" w:w="1728"/>
          </w:tcPr>
          <w:p>
            <w:r>
              <w:rPr>
                <w:rFonts w:ascii="Calibri" w:hAnsi="Calibri"/>
                <w:sz w:val="22"/>
              </w:rPr>
              <w:t>Maintained from Feb 2026; consensus ~2.5% above guidance, reflecting Q1 EPS beat carry-through</w:t>
            </w:r>
          </w:p>
        </w:tc>
      </w:tr>
      <w:tr>
        <w:tc>
          <w:tcPr>
            <w:tcW w:type="dxa" w:w="1728"/>
          </w:tcPr>
          <w:p>
            <w:r>
              <w:rPr>
                <w:rFonts w:ascii="Calibri" w:hAnsi="Calibri"/>
                <w:sz w:val="22"/>
              </w:rPr>
              <w:t>Q2 2026 Outdoor Revenue</w:t>
            </w:r>
          </w:p>
        </w:tc>
        <w:tc>
          <w:tcPr>
            <w:tcW w:type="dxa" w:w="1728"/>
          </w:tcPr>
          <w:p>
            <w:r>
              <w:rPr>
                <w:rFonts w:ascii="Calibri" w:hAnsi="Calibri"/>
                <w:sz w:val="22"/>
              </w:rPr>
              <w:t>“Similar to Q1” (i.e., YoY decline)</w:t>
            </w:r>
          </w:p>
        </w:tc>
        <w:tc>
          <w:tcPr>
            <w:tcW w:type="dxa" w:w="1728"/>
          </w:tcPr>
          <w:p>
            <w:r>
              <w:rPr>
                <w:rFonts w:ascii="Calibri" w:hAnsi="Calibri"/>
                <w:sz w:val="22"/>
              </w:rPr>
              <w:t>—</w:t>
            </w:r>
          </w:p>
        </w:tc>
        <w:tc>
          <w:tcPr>
            <w:tcW w:type="dxa" w:w="1728"/>
          </w:tcPr>
          <w:p>
            <w:r>
              <w:rPr>
                <w:rFonts w:ascii="Calibri" w:hAnsi="Calibri"/>
                <w:sz w:val="22"/>
              </w:rPr>
              <w:t>$483M (vs. $490M in Q2 2025)</w:t>
            </w:r>
          </w:p>
        </w:tc>
        <w:tc>
          <w:tcPr>
            <w:tcW w:type="dxa" w:w="1728"/>
          </w:tcPr>
          <w:p>
            <w:r>
              <w:rPr>
                <w:rFonts w:ascii="Calibri" w:hAnsi="Calibri"/>
                <w:sz w:val="22"/>
              </w:rPr>
              <w:t>Qualitative only; consensus reflects guided decline; back-half recovery expected from new product launches</w:t>
            </w:r>
          </w:p>
        </w:tc>
      </w:tr>
      <w:tr>
        <w:tc>
          <w:tcPr>
            <w:tcW w:type="dxa" w:w="1728"/>
          </w:tcPr>
          <w:p>
            <w:r>
              <w:rPr>
                <w:rFonts w:ascii="Calibri" w:hAnsi="Calibri"/>
                <w:sz w:val="22"/>
              </w:rPr>
              <w:t>FY2026 Fitness</w:t>
            </w:r>
          </w:p>
        </w:tc>
        <w:tc>
          <w:tcPr>
            <w:tcW w:type="dxa" w:w="1728"/>
          </w:tcPr>
          <w:p>
            <w:r>
              <w:rPr>
                <w:rFonts w:ascii="Calibri" w:hAnsi="Calibri"/>
                <w:sz w:val="22"/>
              </w:rPr>
              <w:t>Strongest contributor to consolidated growth</w:t>
            </w:r>
          </w:p>
        </w:tc>
        <w:tc>
          <w:tcPr>
            <w:tcW w:type="dxa" w:w="1728"/>
          </w:tcPr>
          <w:p>
            <w:r>
              <w:rPr>
                <w:rFonts w:ascii="Calibri" w:hAnsi="Calibri"/>
                <w:sz w:val="22"/>
              </w:rPr>
              <w:t>—</w:t>
            </w:r>
          </w:p>
        </w:tc>
        <w:tc>
          <w:tcPr>
            <w:tcW w:type="dxa" w:w="1728"/>
          </w:tcPr>
          <w:p>
            <w:r>
              <w:rPr>
                <w:rFonts w:ascii="Calibri" w:hAnsi="Calibri"/>
                <w:sz w:val="22"/>
              </w:rPr>
              <w:t>$2,843M</w:t>
            </w:r>
          </w:p>
        </w:tc>
        <w:tc>
          <w:tcPr>
            <w:tcW w:type="dxa" w:w="1728"/>
          </w:tcPr>
          <w:p>
            <w:r>
              <w:rPr>
                <w:rFonts w:ascii="Calibri" w:hAnsi="Calibri"/>
                <w:sz w:val="22"/>
              </w:rPr>
              <w:t>Qualitative; consensus implies ~35% YoY growth for FY2026, consistent with strong Q1 momentum</w:t>
            </w:r>
          </w:p>
        </w:tc>
      </w:tr>
      <w:tr>
        <w:tc>
          <w:tcPr>
            <w:tcW w:type="dxa" w:w="1728"/>
          </w:tcPr>
          <w:p>
            <w:r>
              <w:rPr>
                <w:rFonts w:ascii="Calibri" w:hAnsi="Calibri"/>
                <w:sz w:val="22"/>
              </w:rPr>
              <w:t>FY2026 Auto OEM</w:t>
            </w:r>
          </w:p>
        </w:tc>
        <w:tc>
          <w:tcPr>
            <w:tcW w:type="dxa" w:w="1728"/>
          </w:tcPr>
          <w:p>
            <w:r>
              <w:rPr>
                <w:rFonts w:ascii="Calibri" w:hAnsi="Calibri"/>
                <w:sz w:val="22"/>
              </w:rPr>
              <w:t>Revenue to decrease; operating loss to narrow vs. 2025; not profitable on GAAP basis for full year</w:t>
            </w:r>
          </w:p>
        </w:tc>
        <w:tc>
          <w:tcPr>
            <w:tcW w:type="dxa" w:w="1728"/>
          </w:tcPr>
          <w:p>
            <w:r>
              <w:rPr>
                <w:rFonts w:ascii="Calibri" w:hAnsi="Calibri"/>
                <w:sz w:val="22"/>
              </w:rPr>
              <w:t>—</w:t>
            </w:r>
          </w:p>
        </w:tc>
        <w:tc>
          <w:tcPr>
            <w:tcW w:type="dxa" w:w="1728"/>
          </w:tcPr>
          <w:p>
            <w:r>
              <w:rPr>
                <w:rFonts w:ascii="Calibri" w:hAnsi="Calibri"/>
                <w:sz w:val="22"/>
              </w:rPr>
              <w:t>$640M</w:t>
            </w:r>
          </w:p>
        </w:tc>
        <w:tc>
          <w:tcPr>
            <w:tcW w:type="dxa" w:w="1728"/>
          </w:tcPr>
          <w:p>
            <w:r>
              <w:rPr>
                <w:rFonts w:ascii="Calibri" w:hAnsi="Calibri"/>
                <w:sz w:val="22"/>
              </w:rPr>
              <w:t>BMW at peak volumes; legacy programs winding down; Mercedes ramp expected to drive growth from 2027</w:t>
            </w:r>
          </w:p>
        </w:tc>
      </w:tr>
      <w:tr>
        <w:tc>
          <w:tcPr>
            <w:tcW w:type="dxa" w:w="1728"/>
          </w:tcPr>
          <w:p>
            <w:r>
              <w:rPr>
                <w:rFonts w:ascii="Calibri" w:hAnsi="Calibri"/>
                <w:sz w:val="22"/>
              </w:rPr>
              <w:t>FY2026 Opex % of Sales</w:t>
            </w:r>
          </w:p>
        </w:tc>
        <w:tc>
          <w:tcPr>
            <w:tcW w:type="dxa" w:w="1728"/>
          </w:tcPr>
          <w:p>
            <w:r>
              <w:rPr>
                <w:rFonts w:ascii="Calibri" w:hAnsi="Calibri"/>
                <w:sz w:val="22"/>
              </w:rPr>
              <w:t>Relatively consistent year-over-year</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Signals improved operating leverage vs. prior year; personnel costs remain primary driver of opex growth</w:t>
            </w:r>
          </w:p>
        </w:tc>
      </w:tr>
    </w:tbl>
    <w:p>
      <w:r>
        <w:rPr>
          <w:rFonts w:ascii="Calibri" w:hAnsi="Calibri"/>
          <w:i/>
          <w:color w:val="525866"/>
          <w:sz w:val="22"/>
        </w:rPr>
        <w:t>Source: Garmin Q1 2026 Earnings Call Transcript (April 29, 2026); Garmin Q1 2026 Earnings Release (April 29,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higher</w:t>
      </w:r>
      <w:r>
        <w:rPr>
          <w:rFonts w:ascii="Calibri" w:hAnsi="Calibri"/>
          <w:color w:val="525866"/>
          <w:sz w:val="22"/>
        </w:rPr>
        <w:t xml:space="preserve"> since the Q1 print, with Q2 EPS consensus up ~8% and FY2026 EPS up ~2.5% from the post-Q1 baseline. The gap between consensus and guidance is a cushion, not a risk — the Street is building in modest upside above management’s conservative anchor, consistent with Garmin’s historical beat pattern.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$1,937M</w:t>
            </w:r>
          </w:p>
        </w:tc>
        <w:tc>
          <w:tcPr>
            <w:tcW w:type="dxa" w:w="1080"/>
          </w:tcPr>
          <w:p>
            <w:r>
              <w:rPr>
                <w:rFonts w:ascii="Calibri" w:hAnsi="Calibri"/>
                <w:sz w:val="22"/>
              </w:rPr>
              <w:t>$1,937M</w:t>
            </w:r>
          </w:p>
        </w:tc>
        <w:tc>
          <w:tcPr>
            <w:tcW w:type="dxa" w:w="1080"/>
          </w:tcPr>
          <w:p>
            <w:r>
              <w:rPr>
                <w:rFonts w:ascii="Calibri" w:hAnsi="Calibri"/>
                <w:sz w:val="22"/>
              </w:rPr>
              <w:t>0.0%</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w:t>
            </w:r>
          </w:p>
        </w:tc>
        <w:tc>
          <w:tcPr>
            <w:tcW w:type="dxa" w:w="1080"/>
          </w:tcPr>
          <w:p>
            <w:r>
              <w:rPr>
                <w:rFonts w:ascii="Calibri" w:hAnsi="Calibri"/>
                <w:sz w:val="22"/>
              </w:rPr>
              <w:t>$2.13</w:t>
            </w:r>
          </w:p>
        </w:tc>
        <w:tc>
          <w:tcPr>
            <w:tcW w:type="dxa" w:w="1080"/>
          </w:tcPr>
          <w:p>
            <w:r>
              <w:rPr>
                <w:rFonts w:ascii="Calibri" w:hAnsi="Calibri"/>
                <w:sz w:val="22"/>
              </w:rPr>
              <w:t>$2.29</w:t>
            </w:r>
          </w:p>
        </w:tc>
        <w:tc>
          <w:tcPr>
            <w:tcW w:type="dxa" w:w="1080"/>
          </w:tcPr>
          <w:p>
            <w:r>
              <w:rPr>
                <w:rFonts w:ascii="Calibri" w:hAnsi="Calibri"/>
                <w:b/>
                <w:color w:val="30A46C"/>
                <w:sz w:val="22"/>
              </w:rPr>
              <w:t>+7.5%</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$8,022M</w:t>
            </w:r>
          </w:p>
        </w:tc>
        <w:tc>
          <w:tcPr>
            <w:tcW w:type="dxa" w:w="1080"/>
          </w:tcPr>
          <w:p>
            <w:r>
              <w:rPr>
                <w:rFonts w:ascii="Calibri" w:hAnsi="Calibri"/>
                <w:sz w:val="22"/>
              </w:rPr>
              <w:t>$8,022M</w:t>
            </w:r>
          </w:p>
        </w:tc>
        <w:tc>
          <w:tcPr>
            <w:tcW w:type="dxa" w:w="1080"/>
          </w:tcPr>
          <w:p>
            <w:r>
              <w:rPr>
                <w:rFonts w:ascii="Calibri" w:hAnsi="Calibri"/>
                <w:sz w:val="22"/>
              </w:rPr>
              <w:t>0.0%</w:t>
            </w:r>
          </w:p>
        </w:tc>
        <w:tc>
          <w:tcPr>
            <w:tcW w:type="dxa" w:w="1080"/>
          </w:tcPr>
          <w:p>
            <w:r>
              <w:rPr>
                <w:rFonts w:ascii="Calibri" w:hAnsi="Calibri"/>
                <w:sz w:val="22"/>
              </w:rPr>
              <w:t>~$7,900M</w:t>
            </w:r>
          </w:p>
        </w:tc>
        <w:tc>
          <w:tcPr>
            <w:tcW w:type="dxa" w:w="1080"/>
          </w:tcPr>
          <w:p>
            <w:r>
              <w:rPr>
                <w:rFonts w:ascii="Calibri" w:hAnsi="Calibri"/>
                <w:sz w:val="22"/>
              </w:rPr>
              <w:t>~$7,900M (unchanged)</w:t>
            </w:r>
          </w:p>
        </w:tc>
        <w:tc>
          <w:tcPr>
            <w:tcW w:type="dxa" w:w="1080"/>
          </w:tcPr>
          <w:p>
            <w:r>
              <w:rPr>
                <w:rFonts w:ascii="Calibri" w:hAnsi="Calibri"/>
                <w:sz w:val="22"/>
              </w:rPr>
              <w:t>0%</w:t>
            </w:r>
          </w:p>
        </w:tc>
        <w:tc>
          <w:tcPr>
            <w:tcW w:type="dxa" w:w="1080"/>
          </w:tcPr>
          <w:p>
            <w:r>
              <w:rPr>
                <w:rFonts w:ascii="Calibri" w:hAnsi="Calibri"/>
                <w:sz w:val="22"/>
              </w:rPr>
              <w:t>+1.5%</w:t>
            </w:r>
          </w:p>
        </w:tc>
      </w:tr>
      <w:tr>
        <w:tc>
          <w:tcPr>
            <w:tcW w:type="dxa" w:w="1080"/>
          </w:tcPr>
          <w:p>
            <w:r>
              <w:rPr>
                <w:rFonts w:ascii="Calibri" w:hAnsi="Calibri"/>
                <w:sz w:val="22"/>
              </w:rPr>
              <w:t>EPS (Diluted Operating) — FY2026</w:t>
            </w:r>
          </w:p>
        </w:tc>
        <w:tc>
          <w:tcPr>
            <w:tcW w:type="dxa" w:w="1080"/>
          </w:tcPr>
          <w:p>
            <w:r>
              <w:rPr>
                <w:rFonts w:ascii="Calibri" w:hAnsi="Calibri"/>
                <w:sz w:val="22"/>
              </w:rPr>
              <w:t>$9.36</w:t>
            </w:r>
          </w:p>
        </w:tc>
        <w:tc>
          <w:tcPr>
            <w:tcW w:type="dxa" w:w="1080"/>
          </w:tcPr>
          <w:p>
            <w:r>
              <w:rPr>
                <w:rFonts w:ascii="Calibri" w:hAnsi="Calibri"/>
                <w:sz w:val="22"/>
              </w:rPr>
              <w:t>$9.58</w:t>
            </w:r>
          </w:p>
        </w:tc>
        <w:tc>
          <w:tcPr>
            <w:tcW w:type="dxa" w:w="1080"/>
          </w:tcPr>
          <w:p>
            <w:r>
              <w:rPr>
                <w:rFonts w:ascii="Calibri" w:hAnsi="Calibri"/>
                <w:b/>
                <w:color w:val="30A46C"/>
                <w:sz w:val="22"/>
              </w:rPr>
              <w:t>+2.4%</w:t>
            </w:r>
          </w:p>
        </w:tc>
        <w:tc>
          <w:tcPr>
            <w:tcW w:type="dxa" w:w="1080"/>
          </w:tcPr>
          <w:p>
            <w:r>
              <w:rPr>
                <w:rFonts w:ascii="Calibri" w:hAnsi="Calibri"/>
                <w:sz w:val="22"/>
              </w:rPr>
              <w:t>$9.35</w:t>
            </w:r>
          </w:p>
        </w:tc>
        <w:tc>
          <w:tcPr>
            <w:tcW w:type="dxa" w:w="1080"/>
          </w:tcPr>
          <w:p>
            <w:r>
              <w:rPr>
                <w:rFonts w:ascii="Calibri" w:hAnsi="Calibri"/>
                <w:sz w:val="22"/>
              </w:rPr>
              <w:t>$9.35 (unchanged)</w:t>
            </w:r>
          </w:p>
        </w:tc>
        <w:tc>
          <w:tcPr>
            <w:tcW w:type="dxa" w:w="1080"/>
          </w:tcPr>
          <w:p>
            <w:r>
              <w:rPr>
                <w:rFonts w:ascii="Calibri" w:hAnsi="Calibri"/>
                <w:sz w:val="22"/>
              </w:rPr>
              <w:t>0%</w:t>
            </w:r>
          </w:p>
        </w:tc>
        <w:tc>
          <w:tcPr>
            <w:tcW w:type="dxa" w:w="1080"/>
          </w:tcPr>
          <w:p>
            <w:r>
              <w:rPr>
                <w:rFonts w:ascii="Calibri" w:hAnsi="Calibri"/>
                <w:sz w:val="22"/>
              </w:rPr>
              <w:t>+2.5%</w:t>
            </w:r>
          </w:p>
        </w:tc>
      </w:tr>
      <w:tr>
        <w:tc>
          <w:tcPr>
            <w:tcW w:type="dxa" w:w="1080"/>
          </w:tcPr>
          <w:p>
            <w:r>
              <w:rPr>
                <w:rFonts w:ascii="Calibri" w:hAnsi="Calibri"/>
                <w:sz w:val="22"/>
              </w:rPr>
              <w:t>Net Sales — FY2027</w:t>
            </w:r>
          </w:p>
        </w:tc>
        <w:tc>
          <w:tcPr>
            <w:tcW w:type="dxa" w:w="1080"/>
          </w:tcPr>
          <w:p>
            <w:r>
              <w:rPr>
                <w:rFonts w:ascii="Calibri" w:hAnsi="Calibri"/>
                <w:sz w:val="22"/>
              </w:rPr>
              <w:t>$8,880M</w:t>
            </w:r>
          </w:p>
        </w:tc>
        <w:tc>
          <w:tcPr>
            <w:tcW w:type="dxa" w:w="1080"/>
          </w:tcPr>
          <w:p>
            <w:r>
              <w:rPr>
                <w:rFonts w:ascii="Calibri" w:hAnsi="Calibri"/>
                <w:sz w:val="22"/>
              </w:rPr>
              <w:t>$8,880M</w:t>
            </w:r>
          </w:p>
        </w:tc>
        <w:tc>
          <w:tcPr>
            <w:tcW w:type="dxa" w:w="1080"/>
          </w:tcPr>
          <w:p>
            <w:r>
              <w:rPr>
                <w:rFonts w:ascii="Calibri" w:hAnsi="Calibri"/>
                <w:sz w:val="22"/>
              </w:rPr>
              <w:t>0.0%</w:t>
            </w:r>
          </w:p>
        </w:tc>
        <w:tc>
          <w:tcPr>
            <w:tcW w:type="dxa" w:w="1080"/>
          </w:tcPr>
          <w:p>
            <w:r>
              <w:rPr>
                <w:rFonts w:ascii="Calibri" w:hAnsi="Calibri"/>
                <w:sz w:val="22"/>
              </w:rPr>
              <w:t>No FY2027 guidance</w:t>
            </w:r>
          </w:p>
        </w:tc>
        <w:tc>
          <w:tcPr>
            <w:tcW w:type="dxa" w:w="1080"/>
          </w:tcPr>
          <w:p>
            <w:r>
              <w:rPr>
                <w:rFonts w:ascii="Calibri" w:hAnsi="Calibri"/>
                <w:sz w:val="22"/>
              </w:rPr>
              <w:t>No FY2027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FY2027</w:t>
            </w:r>
          </w:p>
        </w:tc>
        <w:tc>
          <w:tcPr>
            <w:tcW w:type="dxa" w:w="1080"/>
          </w:tcPr>
          <w:p>
            <w:r>
              <w:rPr>
                <w:rFonts w:ascii="Calibri" w:hAnsi="Calibri"/>
                <w:sz w:val="22"/>
              </w:rPr>
              <w:t>$10.28</w:t>
            </w:r>
          </w:p>
        </w:tc>
        <w:tc>
          <w:tcPr>
            <w:tcW w:type="dxa" w:w="1080"/>
          </w:tcPr>
          <w:p>
            <w:r>
              <w:rPr>
                <w:rFonts w:ascii="Calibri" w:hAnsi="Calibri"/>
                <w:sz w:val="22"/>
              </w:rPr>
              <w:t>$10.28</w:t>
            </w:r>
          </w:p>
        </w:tc>
        <w:tc>
          <w:tcPr>
            <w:tcW w:type="dxa" w:w="1080"/>
          </w:tcPr>
          <w:p>
            <w:r>
              <w:rPr>
                <w:rFonts w:ascii="Calibri" w:hAnsi="Calibri"/>
                <w:sz w:val="22"/>
              </w:rPr>
              <w:t>0.0%</w:t>
            </w:r>
          </w:p>
        </w:tc>
        <w:tc>
          <w:tcPr>
            <w:tcW w:type="dxa" w:w="1080"/>
          </w:tcPr>
          <w:p>
            <w:r>
              <w:rPr>
                <w:rFonts w:ascii="Calibri" w:hAnsi="Calibri"/>
                <w:sz w:val="22"/>
              </w:rPr>
              <w:t>No FY2027 guidance</w:t>
            </w:r>
          </w:p>
        </w:tc>
        <w:tc>
          <w:tcPr>
            <w:tcW w:type="dxa" w:w="1080"/>
          </w:tcPr>
          <w:p>
            <w:r>
              <w:rPr>
                <w:rFonts w:ascii="Calibri" w:hAnsi="Calibri"/>
                <w:sz w:val="22"/>
              </w:rPr>
              <w:t>No FY2027 guidance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Q2 EPS estimate has moved up ~7.5% since the post-Q1 baseline, driven by the carry-through of Q1’s margin outperformance and favorable FX tailwinds. FY2026 revenue estimates are stable, sitting ~1.5% above management’s guidance midpoint — a modest cushion that reflects the Street’s expectation of continued beats without pricing in a step-change. FY2027 estimates are anchored around the Mercedes-Benz program ramp, which management expects to drive significant growth starting in 2027.</w:t>
      </w:r>
    </w:p>
    <w:p>
      <w:r>
        <w:rPr>
          <w:rFonts w:ascii="Calibri" w:hAnsi="Calibri"/>
          <w:i/>
          <w:color w:val="525866"/>
          <w:sz w:val="22"/>
        </w:rPr>
        <w:t>Source: Visible Alpha Consensus and Actuals Data (as-of date May 6, 2026 for post-Q1 baseline; current as of July 28, 2026). Guidance from Garmin Q1 2026 Earnings Call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GRMN has </w:t>
      </w:r>
      <w:r>
        <w:rPr>
          <w:rFonts w:ascii="Calibri" w:hAnsi="Calibri"/>
          <w:b/>
          <w:color w:val="525866"/>
          <w:sz w:val="22"/>
        </w:rPr>
        <w:t>underperformed both the S&amp;P 500 and XLY</w:t>
      </w:r>
      <w:r>
        <w:rPr>
          <w:rFonts w:ascii="Calibri" w:hAnsi="Calibri"/>
          <w:color w:val="525866"/>
          <w:sz w:val="22"/>
        </w:rPr>
        <w:t xml:space="preserve"> since the Q1 earnings date (April 29, 2026), declining ~4% vs. the S&amp;P 500’s +4% gain, driven primarily by </w:t>
      </w:r>
      <w:r>
        <w:rPr>
          <w:rFonts w:ascii="Calibri" w:hAnsi="Calibri"/>
          <w:b/>
          <w:color w:val="525866"/>
          <w:sz w:val="22"/>
        </w:rPr>
        <w:t>multiple compression</w:t>
      </w:r>
      <w:r>
        <w:rPr>
          <w:rFonts w:ascii="Calibri" w:hAnsi="Calibri"/>
          <w:color w:val="525866"/>
          <w:sz w:val="22"/>
        </w:rPr>
        <w:t xml:space="preserve"> rather than estimate cuts. The stock is not pricing in a beat, which is a constructive setup heading into Q2 results.</w:t>
      </w:r>
    </w:p>
    <w:p>
      <w:r>
        <w:rPr>
          <w:rFonts w:ascii="Calibri" w:hAnsi="Calibri"/>
          <w:color w:val="525866"/>
          <w:sz w:val="22"/>
        </w:rPr>
        <w:t>Since the Q1 2026 earnings date (April 29, 2026), GRMN has declined approximately 4.2% (from $253.08 to $242.47 as of July 27, 2026), while the S&amp;P 500 (SPY) has gained approximately 3.9% and the Consumer Discretionary ETF (XLY) has declined approximately 5.1%. The stock’s underperformance vs. the S&amp;P 500 reflects the market’s disappointment with management’s decision to hold guidance unchanged despite the strong Q1 beat, and ongoing concern about the Outdoor segment cycle. However, GRMN has outperformed XLY over this period, suggesting the market views Garmin’s diversified model and resilient consumer base as a relative positive within the discretionary space. The NTM P/E multiple has compressed from ~26.8x (3 months ago) to ~24.3x currently, consistent with the stock underperforming earnings revisions. At 24.3x NTM earnings, the stock is not pricing in a beat — a constructive setup if Q2 delivers another upside surprise.</w:t>
      </w:r>
    </w:p>
    <w:p>
      <w:r>
        <w:rPr>
          <w:rFonts w:ascii="Calibri" w:hAnsi="Calibri"/>
          <w:b/>
          <w:color w:val="525866"/>
          <w:sz w:val="22"/>
        </w:rPr>
        <w:t xml:space="preserve">Sector ETF used: </w:t>
      </w:r>
      <w:r>
        <w:rPr>
          <w:rFonts w:ascii="Calibri" w:hAnsi="Calibri"/>
          <w:color w:val="525866"/>
          <w:sz w:val="22"/>
        </w:rPr>
        <w:t>XLY (SPDR Consumer Discretionary Select Sector ETF) — appropriate given Garmin’s classification as a consumer electronics/discretionary company with significant exposure to fitness, outdoor, and marine end markets.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GRMN vs. XLY vs. S&amp;P 500 — Indexed Performance Since Q1 2026 Earnings (April 29, 2026). Base = 100.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1 Month</w:t>
            </w:r>
          </w:p>
        </w:tc>
        <w:tc>
          <w:tcPr>
            <w:tcW w:type="dxa" w:w="1728"/>
            <w:shd w:val="clear" w:color="auto" w:fill="3B4259"/>
          </w:tcPr>
          <w:p>
            <w:r>
              <w:rPr>
                <w:rFonts w:ascii="Calibri" w:hAnsi="Calibri"/>
                <w:b/>
                <w:color w:val="FFFFFF"/>
                <w:sz w:val="22"/>
              </w:rPr>
              <w:t>3 Months</w:t>
            </w:r>
          </w:p>
        </w:tc>
        <w:tc>
          <w:tcPr>
            <w:tcW w:type="dxa" w:w="1728"/>
            <w:shd w:val="clear" w:color="auto" w:fill="3B4259"/>
          </w:tcPr>
          <w:p>
            <w:r>
              <w:rPr>
                <w:rFonts w:ascii="Calibri" w:hAnsi="Calibri"/>
                <w:b/>
                <w:color w:val="FFFFFF"/>
                <w:sz w:val="22"/>
              </w:rPr>
              <w:t>6 Months</w:t>
            </w:r>
          </w:p>
        </w:tc>
        <w:tc>
          <w:tcPr>
            <w:tcW w:type="dxa" w:w="1728"/>
            <w:shd w:val="clear" w:color="auto" w:fill="3B4259"/>
          </w:tcPr>
          <w:p>
            <w:r>
              <w:rPr>
                <w:rFonts w:ascii="Calibri" w:hAnsi="Calibri"/>
                <w:b/>
                <w:color w:val="FFFFFF"/>
                <w:sz w:val="22"/>
              </w:rPr>
              <w:t>12 Months</w:t>
            </w:r>
          </w:p>
        </w:tc>
      </w:tr>
      <w:tr>
        <w:tc>
          <w:tcPr>
            <w:tcW w:type="dxa" w:w="1728"/>
          </w:tcPr>
          <w:p>
            <w:r>
              <w:rPr>
                <w:rFonts w:ascii="Calibri" w:hAnsi="Calibri"/>
                <w:sz w:val="22"/>
              </w:rPr>
              <w:t>GRMN Price Change</w:t>
            </w:r>
          </w:p>
        </w:tc>
        <w:tc>
          <w:tcPr>
            <w:tcW w:type="dxa" w:w="1728"/>
          </w:tcPr>
          <w:p>
            <w:r>
              <w:rPr>
                <w:rFonts w:ascii="Calibri" w:hAnsi="Calibri"/>
                <w:sz w:val="22"/>
              </w:rPr>
              <w:t>+9.1%</w:t>
            </w:r>
          </w:p>
        </w:tc>
        <w:tc>
          <w:tcPr>
            <w:tcW w:type="dxa" w:w="1728"/>
          </w:tcPr>
          <w:p>
            <w:r>
              <w:rPr>
                <w:rFonts w:ascii="Calibri" w:hAnsi="Calibri"/>
                <w:sz w:val="22"/>
              </w:rPr>
              <w:t>-1.4%</w:t>
            </w:r>
          </w:p>
        </w:tc>
        <w:tc>
          <w:tcPr>
            <w:tcW w:type="dxa" w:w="1728"/>
          </w:tcPr>
          <w:p>
            <w:r>
              <w:rPr>
                <w:rFonts w:ascii="Calibri" w:hAnsi="Calibri"/>
                <w:sz w:val="22"/>
              </w:rPr>
              <w:t>+22.6%</w:t>
            </w:r>
          </w:p>
        </w:tc>
        <w:tc>
          <w:tcPr>
            <w:tcW w:type="dxa" w:w="1728"/>
          </w:tcPr>
          <w:p>
            <w:r>
              <w:rPr>
                <w:rFonts w:ascii="Calibri" w:hAnsi="Calibri"/>
                <w:sz w:val="22"/>
              </w:rPr>
              <w:t>+7.7%</w:t>
            </w:r>
          </w:p>
        </w:tc>
      </w:tr>
      <w:tr>
        <w:tc>
          <w:tcPr>
            <w:tcW w:type="dxa" w:w="1728"/>
          </w:tcPr>
          <w:p>
            <w:r>
              <w:rPr>
                <w:rFonts w:ascii="Calibri" w:hAnsi="Calibri"/>
                <w:sz w:val="22"/>
              </w:rPr>
              <w:t>NTM EV/EBITDA Multiple</w:t>
            </w:r>
          </w:p>
        </w:tc>
        <w:tc>
          <w:tcPr>
            <w:tcW w:type="dxa" w:w="1728"/>
          </w:tcPr>
          <w:p>
            <w:r>
              <w:rPr>
                <w:rFonts w:ascii="Calibri" w:hAnsi="Calibri"/>
                <w:sz w:val="22"/>
              </w:rPr>
              <w:t>18.1x → 18.5x (+2.5%)</w:t>
            </w:r>
          </w:p>
        </w:tc>
        <w:tc>
          <w:tcPr>
            <w:tcW w:type="dxa" w:w="1728"/>
          </w:tcPr>
          <w:p>
            <w:r>
              <w:rPr>
                <w:rFonts w:ascii="Calibri" w:hAnsi="Calibri"/>
                <w:sz w:val="22"/>
              </w:rPr>
              <w:t>20.3x → 18.5x (-8.8%)</w:t>
            </w:r>
          </w:p>
        </w:tc>
        <w:tc>
          <w:tcPr>
            <w:tcW w:type="dxa" w:w="1728"/>
          </w:tcPr>
          <w:p>
            <w:r>
              <w:rPr>
                <w:rFonts w:ascii="Calibri" w:hAnsi="Calibri"/>
                <w:sz w:val="22"/>
              </w:rPr>
              <w:t>17.0x → 18.5x (+8.9%)</w:t>
            </w:r>
          </w:p>
        </w:tc>
        <w:tc>
          <w:tcPr>
            <w:tcW w:type="dxa" w:w="1728"/>
          </w:tcPr>
          <w:p>
            <w:r>
              <w:rPr>
                <w:rFonts w:ascii="Calibri" w:hAnsi="Calibri"/>
                <w:sz w:val="22"/>
              </w:rPr>
              <w:t>20.2x → 18.5x (-8.1%)</w:t>
            </w:r>
          </w:p>
        </w:tc>
      </w:tr>
      <w:tr>
        <w:tc>
          <w:tcPr>
            <w:tcW w:type="dxa" w:w="1728"/>
          </w:tcPr>
          <w:p>
            <w:r>
              <w:rPr>
                <w:rFonts w:ascii="Calibri" w:hAnsi="Calibri"/>
                <w:sz w:val="22"/>
              </w:rPr>
              <w:t>NTM P/E Multiple</w:t>
            </w:r>
          </w:p>
        </w:tc>
        <w:tc>
          <w:tcPr>
            <w:tcW w:type="dxa" w:w="1728"/>
          </w:tcPr>
          <w:p>
            <w:r>
              <w:rPr>
                <w:rFonts w:ascii="Calibri" w:hAnsi="Calibri"/>
                <w:sz w:val="22"/>
              </w:rPr>
              <w:t>23.7x → 24.3x (+2.4%)</w:t>
            </w:r>
          </w:p>
        </w:tc>
        <w:tc>
          <w:tcPr>
            <w:tcW w:type="dxa" w:w="1728"/>
          </w:tcPr>
          <w:p>
            <w:r>
              <w:rPr>
                <w:rFonts w:ascii="Calibri" w:hAnsi="Calibri"/>
                <w:sz w:val="22"/>
              </w:rPr>
              <w:t>26.8x → 24.3x (-9.3%)</w:t>
            </w:r>
          </w:p>
        </w:tc>
        <w:tc>
          <w:tcPr>
            <w:tcW w:type="dxa" w:w="1728"/>
          </w:tcPr>
          <w:p>
            <w:r>
              <w:rPr>
                <w:rFonts w:ascii="Calibri" w:hAnsi="Calibri"/>
                <w:sz w:val="22"/>
              </w:rPr>
              <w:t>23.0x → 24.3x (+5.5%)</w:t>
            </w:r>
          </w:p>
        </w:tc>
        <w:tc>
          <w:tcPr>
            <w:tcW w:type="dxa" w:w="1728"/>
          </w:tcPr>
          <w:p>
            <w:r>
              <w:rPr>
                <w:rFonts w:ascii="Calibri" w:hAnsi="Calibri"/>
                <w:sz w:val="22"/>
              </w:rPr>
              <w:t>27.0x → 24.3x (-9.9%)</w:t>
            </w:r>
          </w:p>
        </w:tc>
      </w:tr>
      <w:tr>
        <w:tc>
          <w:tcPr>
            <w:tcW w:type="dxa" w:w="1728"/>
          </w:tcPr>
          <w:p>
            <w:r>
              <w:rPr>
                <w:rFonts w:ascii="Calibri" w:hAnsi="Calibri"/>
                <w:sz w:val="22"/>
              </w:rPr>
              <w:t>Performance Driver</w:t>
            </w:r>
          </w:p>
        </w:tc>
        <w:tc>
          <w:tcPr>
            <w:tcW w:type="dxa" w:w="1728"/>
          </w:tcPr>
          <w:p>
            <w:r>
              <w:rPr>
                <w:rFonts w:ascii="Calibri" w:hAnsi="Calibri"/>
                <w:sz w:val="22"/>
              </w:rPr>
              <w:t>Mixed: price + slight multiple expansion</w:t>
            </w:r>
          </w:p>
        </w:tc>
        <w:tc>
          <w:tcPr>
            <w:tcW w:type="dxa" w:w="1728"/>
          </w:tcPr>
          <w:p>
            <w:r>
              <w:rPr>
                <w:rFonts w:ascii="Calibri" w:hAnsi="Calibri"/>
                <w:sz w:val="22"/>
              </w:rPr>
              <w:t>Multiple compression dominated</w:t>
            </w:r>
          </w:p>
        </w:tc>
        <w:tc>
          <w:tcPr>
            <w:tcW w:type="dxa" w:w="1728"/>
          </w:tcPr>
          <w:p>
            <w:r>
              <w:rPr>
                <w:rFonts w:ascii="Calibri" w:hAnsi="Calibri"/>
                <w:sz w:val="22"/>
              </w:rPr>
              <w:t>Earnings + multiple expansion</w:t>
            </w:r>
          </w:p>
        </w:tc>
        <w:tc>
          <w:tcPr>
            <w:tcW w:type="dxa" w:w="1728"/>
          </w:tcPr>
          <w:p>
            <w:r>
              <w:rPr>
                <w:rFonts w:ascii="Calibri" w:hAnsi="Calibri"/>
                <w:sz w:val="22"/>
              </w:rPr>
              <w:t>Multiple compression offset earnings growth</w:t>
            </w:r>
          </w:p>
        </w:tc>
      </w:tr>
    </w:tbl>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management’s explicit confirmation that the </w:t>
      </w:r>
      <w:r>
        <w:rPr>
          <w:rFonts w:ascii="Calibri" w:hAnsi="Calibri"/>
          <w:b/>
          <w:color w:val="525866"/>
          <w:sz w:val="22"/>
        </w:rPr>
        <w:t>Mercedes-Benz program is on track</w:t>
      </w:r>
      <w:r>
        <w:rPr>
          <w:rFonts w:ascii="Calibri" w:hAnsi="Calibri"/>
          <w:color w:val="525866"/>
          <w:sz w:val="22"/>
        </w:rPr>
        <w:t xml:space="preserve"> for a 2027 ramp, which underpins the long-term growth narrative. Near-term, the Q2 print will be shaped by Outdoor product cycle timing and the continued strength of Fitness advanced wearables demand.</w:t>
      </w:r>
    </w:p>
    <w:p>
      <w:pPr>
        <w:pStyle w:val="ListBullet"/>
        <w:ind w:left="360" w:hanging="360"/>
      </w:pPr>
      <w:r>
        <w:rPr>
          <w:rFonts w:ascii="Calibri" w:hAnsi="Calibri"/>
          <w:b/>
          <w:color w:val="525866"/>
          <w:sz w:val="22"/>
        </w:rPr>
        <w:t>April 29, 2026 — Q1 2026 Earnings Beat; Guidance Maintained.</w:t>
      </w:r>
      <w:r>
        <w:rPr>
          <w:rFonts w:ascii="Calibri" w:hAnsi="Calibri"/>
          <w:color w:val="525866"/>
          <w:sz w:val="22"/>
        </w:rPr>
        <w:t xml:space="preserve"> Garmin reported record Q1 revenue of $1.75B (+14% YoY), pro forma EPS of $2.08 (+29% YoY), and record operating income of $432M (+30% YoY). Despite the strong beat, management maintained FY2026 guidance of ~$7.9B revenue and $9.35 EPS. Stock declined in pre-market on the Outdoor miss and guidance hold. </w:t>
      </w:r>
      <w:r>
        <w:rPr>
          <w:rFonts w:ascii="Calibri" w:hAnsi="Calibri"/>
          <w:i/>
          <w:color w:val="525866"/>
          <w:sz w:val="22"/>
        </w:rPr>
        <w:t>Implication:</w:t>
      </w:r>
      <w:r>
        <w:rPr>
          <w:rFonts w:ascii="Calibri" w:hAnsi="Calibri"/>
          <w:color w:val="525866"/>
          <w:sz w:val="22"/>
        </w:rPr>
        <w:t xml:space="preserve"> Sets a high bar for Q2 Fitness but a low bar for Outdoor; guidance conservatism is a known feature, not a bug.</w:t>
      </w:r>
    </w:p>
    <w:p>
      <w:pPr>
        <w:pStyle w:val="ListBullet"/>
        <w:ind w:left="360" w:hanging="360"/>
      </w:pPr>
      <w:r>
        <w:rPr>
          <w:rFonts w:ascii="Calibri" w:hAnsi="Calibri"/>
          <w:b/>
          <w:color w:val="525866"/>
          <w:sz w:val="22"/>
        </w:rPr>
        <w:t>April 29, 2026 — Mercedes-Benz Program Milestone Confirmed.</w:t>
      </w:r>
      <w:r>
        <w:rPr>
          <w:rFonts w:ascii="Calibri" w:hAnsi="Calibri"/>
          <w:color w:val="525866"/>
          <w:sz w:val="22"/>
        </w:rPr>
        <w:t xml:space="preserve"> Management stated Garmin is “achieving important milestones leading up to the launch of our next large-scale program with Mercedes-Benz, which we anticipate will drive significant growth starting in 2027 and beyond.” The Mercedes program is described as more complex and higher ASP than the BMW program. </w:t>
      </w:r>
      <w:r>
        <w:rPr>
          <w:rFonts w:ascii="Calibri" w:hAnsi="Calibri"/>
          <w:i/>
          <w:color w:val="525866"/>
          <w:sz w:val="22"/>
        </w:rPr>
        <w:t>Implication:</w:t>
      </w:r>
      <w:r>
        <w:rPr>
          <w:rFonts w:ascii="Calibri" w:hAnsi="Calibri"/>
          <w:color w:val="525866"/>
          <w:sz w:val="22"/>
        </w:rPr>
        <w:t xml:space="preserve"> Key long-term catalyst; any update on program timing or scope in Q2 call would be a positive catalyst.</w:t>
      </w:r>
    </w:p>
    <w:p>
      <w:pPr>
        <w:pStyle w:val="ListBullet"/>
        <w:ind w:left="360" w:hanging="360"/>
      </w:pPr>
      <w:r>
        <w:rPr>
          <w:rFonts w:ascii="Calibri" w:hAnsi="Calibri"/>
          <w:b/>
          <w:color w:val="525866"/>
          <w:sz w:val="22"/>
        </w:rPr>
        <w:t>April 29, 2026 — New Product Category Teased.</w:t>
      </w:r>
      <w:r>
        <w:rPr>
          <w:rFonts w:ascii="Calibri" w:hAnsi="Calibri"/>
          <w:color w:val="525866"/>
          <w:sz w:val="22"/>
        </w:rPr>
        <w:t xml:space="preserve"> CEO Pemble stated Garmin is “planning to launch even more new products throughout the year, including some that represent new categories for Garmin.” </w:t>
      </w:r>
      <w:r>
        <w:rPr>
          <w:rFonts w:ascii="Calibri" w:hAnsi="Calibri"/>
          <w:i/>
          <w:color w:val="525866"/>
          <w:sz w:val="22"/>
        </w:rPr>
        <w:t>Implication:</w:t>
      </w:r>
      <w:r>
        <w:rPr>
          <w:rFonts w:ascii="Calibri" w:hAnsi="Calibri"/>
          <w:color w:val="525866"/>
          <w:sz w:val="22"/>
        </w:rPr>
        <w:t xml:space="preserve"> Potential upside catalyst for Outdoor back-half recovery; any specifics on Q2 call would be closely watched.</w:t>
      </w:r>
    </w:p>
    <w:p>
      <w:pPr>
        <w:pStyle w:val="ListBullet"/>
        <w:ind w:left="360" w:hanging="360"/>
      </w:pPr>
      <w:r>
        <w:rPr>
          <w:rFonts w:ascii="Calibri" w:hAnsi="Calibri"/>
          <w:b/>
          <w:color w:val="525866"/>
          <w:sz w:val="22"/>
        </w:rPr>
        <w:t>April 29, 2026 — Subscription Services Highlighted as Strategic Focus.</w:t>
      </w:r>
      <w:r>
        <w:rPr>
          <w:rFonts w:ascii="Calibri" w:hAnsi="Calibri"/>
          <w:color w:val="525866"/>
          <w:sz w:val="22"/>
        </w:rPr>
        <w:t xml:space="preserve"> Management described Garmin Connect Plus and inReach services as “key differentiators” and an “area of enhanced focus.” </w:t>
      </w:r>
      <w:r>
        <w:rPr>
          <w:rFonts w:ascii="Calibri" w:hAnsi="Calibri"/>
          <w:i/>
          <w:color w:val="525866"/>
          <w:sz w:val="22"/>
        </w:rPr>
        <w:t>Implication:</w:t>
      </w:r>
      <w:r>
        <w:rPr>
          <w:rFonts w:ascii="Calibri" w:hAnsi="Calibri"/>
          <w:color w:val="525866"/>
          <w:sz w:val="22"/>
        </w:rPr>
        <w:t xml:space="preserve"> Recurring revenue layer adds valuation support; watch for any subscriber metrics or monetization updates.</w:t>
      </w:r>
    </w:p>
    <w:p>
      <w:pPr>
        <w:pStyle w:val="ListBullet"/>
        <w:ind w:left="360" w:hanging="360"/>
      </w:pPr>
      <w:r>
        <w:rPr>
          <w:rFonts w:ascii="Calibri" w:hAnsi="Calibri"/>
          <w:b/>
          <w:color w:val="525866"/>
          <w:sz w:val="22"/>
        </w:rPr>
        <w:t>April 29, 2026 — Tariff &amp; Component Cost Commentary.</w:t>
      </w:r>
      <w:r>
        <w:rPr>
          <w:rFonts w:ascii="Calibri" w:hAnsi="Calibri"/>
          <w:color w:val="525866"/>
          <w:sz w:val="22"/>
        </w:rPr>
        <w:t xml:space="preserve"> Management noted significant safety stock buffers most tariff and component cost impact into 2027, with 2026 described as “somewhat muted.” No receivable or benefit recorded for potential tariff refunds. </w:t>
      </w:r>
      <w:r>
        <w:rPr>
          <w:rFonts w:ascii="Calibri" w:hAnsi="Calibri"/>
          <w:i/>
          <w:color w:val="525866"/>
          <w:sz w:val="22"/>
        </w:rPr>
        <w:t>Implication:</w:t>
      </w:r>
      <w:r>
        <w:rPr>
          <w:rFonts w:ascii="Calibri" w:hAnsi="Calibri"/>
          <w:color w:val="525866"/>
          <w:sz w:val="22"/>
        </w:rPr>
        <w:t xml:space="preserve"> Gross margin risk is back-end loaded; Q2 margins should remain relatively clean.</w:t>
      </w:r>
    </w:p>
    <w:p>
      <w:pPr>
        <w:pStyle w:val="ListBullet"/>
        <w:ind w:left="360" w:hanging="360"/>
      </w:pPr>
      <w:r>
        <w:rPr>
          <w:rFonts w:ascii="Calibri" w:hAnsi="Calibri"/>
          <w:b/>
          <w:color w:val="525866"/>
          <w:sz w:val="22"/>
        </w:rPr>
        <w:t>April 29, 2026 — Shareholder Dividend Recommendation.</w:t>
      </w:r>
      <w:r>
        <w:rPr>
          <w:rFonts w:ascii="Calibri" w:hAnsi="Calibri"/>
          <w:color w:val="525866"/>
          <w:sz w:val="22"/>
        </w:rPr>
        <w:t xml:space="preserve"> Board recommended a cash dividend of $4.20 per share (four equal quarterly installments) for shareholder approval at the June 5, 2026 annual meeting. </w:t>
      </w:r>
      <w:r>
        <w:rPr>
          <w:rFonts w:ascii="Calibri" w:hAnsi="Calibri"/>
          <w:i/>
          <w:color w:val="525866"/>
          <w:sz w:val="22"/>
        </w:rPr>
        <w:t>Implication:</w:t>
      </w:r>
      <w:r>
        <w:rPr>
          <w:rFonts w:ascii="Calibri" w:hAnsi="Calibri"/>
          <w:color w:val="525866"/>
          <w:sz w:val="22"/>
        </w:rPr>
        <w:t xml:space="preserve"> Signals continued capital return commitment; no change to capital allocation posture.</w:t>
      </w:r>
    </w:p>
    <w:p>
      <w:pPr>
        <w:pStyle w:val="ListBullet"/>
        <w:ind w:left="360" w:hanging="360"/>
      </w:pPr>
      <w:r>
        <w:rPr>
          <w:rFonts w:ascii="Calibri" w:hAnsi="Calibri"/>
          <w:b/>
          <w:color w:val="525866"/>
          <w:sz w:val="22"/>
        </w:rPr>
        <w:t>Q1 2026 — Fenix 8 Pro Named ‘Best Connected Device’ at Mobile World Congress 2026.</w:t>
      </w:r>
      <w:r>
        <w:rPr>
          <w:rFonts w:ascii="Calibri" w:hAnsi="Calibri"/>
          <w:color w:val="525866"/>
          <w:sz w:val="22"/>
        </w:rPr>
        <w:t xml:space="preserve"> Recognition at a major industry event reinforces Garmin’s premium positioning in the advanced wearables market. </w:t>
      </w:r>
      <w:r>
        <w:rPr>
          <w:rFonts w:ascii="Calibri" w:hAnsi="Calibri"/>
          <w:i/>
          <w:color w:val="525866"/>
          <w:sz w:val="22"/>
        </w:rPr>
        <w:t>Implication:</w:t>
      </w:r>
      <w:r>
        <w:rPr>
          <w:rFonts w:ascii="Calibri" w:hAnsi="Calibri"/>
          <w:color w:val="525866"/>
          <w:sz w:val="22"/>
        </w:rPr>
        <w:t xml:space="preserve"> Supports continued Fitness segment demand momentum heading into Q2.</w:t>
      </w:r>
    </w:p>
    <w:p>
      <w:pPr>
        <w:pStyle w:val="ListBullet"/>
        <w:ind w:left="360" w:hanging="360"/>
      </w:pPr>
      <w:r>
        <w:rPr>
          <w:rFonts w:ascii="Calibri" w:hAnsi="Calibri"/>
          <w:b/>
          <w:color w:val="525866"/>
          <w:sz w:val="22"/>
        </w:rPr>
        <w:t>Q1 2026 — Aviation Wins: TBM 980 and HondaJet Elite II.</w:t>
      </w:r>
      <w:r>
        <w:rPr>
          <w:rFonts w:ascii="Calibri" w:hAnsi="Calibri"/>
          <w:color w:val="525866"/>
          <w:sz w:val="22"/>
        </w:rPr>
        <w:t xml:space="preserve"> Daher unveiled the TBM 980 with Garmin’s G3000 PRIME avionics suite; HondaJet Elite II received FAA certification as the first twin-turbine business jet with Garmin Emergency Autoland. </w:t>
      </w:r>
      <w:r>
        <w:rPr>
          <w:rFonts w:ascii="Calibri" w:hAnsi="Calibri"/>
          <w:i/>
          <w:color w:val="525866"/>
          <w:sz w:val="22"/>
        </w:rPr>
        <w:t>Implication:</w:t>
      </w:r>
      <w:r>
        <w:rPr>
          <w:rFonts w:ascii="Calibri" w:hAnsi="Calibri"/>
          <w:color w:val="525866"/>
          <w:sz w:val="22"/>
        </w:rPr>
        <w:t xml:space="preserve"> Reinforces Aviation segment’s OEM pipeline and aftermarket positioning.</w:t>
      </w:r>
    </w:p>
    <w:p>
      <w:pPr>
        <w:pStyle w:val="ListBullet"/>
        <w:ind w:left="360" w:hanging="360"/>
      </w:pPr>
      <w:r>
        <w:rPr>
          <w:rFonts w:ascii="Calibri" w:hAnsi="Calibri"/>
          <w:b/>
          <w:color w:val="525866"/>
          <w:sz w:val="22"/>
        </w:rPr>
        <w:t>Q1 2026 — Marine: 360-Degree Scanning Sonar and quatix 8 Pro Launched.</w:t>
      </w:r>
      <w:r>
        <w:rPr>
          <w:rFonts w:ascii="Calibri" w:hAnsi="Calibri"/>
          <w:color w:val="525866"/>
          <w:sz w:val="22"/>
        </w:rPr>
        <w:t xml:space="preserve"> New products expand Garmin’s marine electronics portfolio with differentiated technology. </w:t>
      </w:r>
      <w:r>
        <w:rPr>
          <w:rFonts w:ascii="Calibri" w:hAnsi="Calibri"/>
          <w:i/>
          <w:color w:val="525866"/>
          <w:sz w:val="22"/>
        </w:rPr>
        <w:t>Implication:</w:t>
      </w:r>
      <w:r>
        <w:rPr>
          <w:rFonts w:ascii="Calibri" w:hAnsi="Calibri"/>
          <w:color w:val="525866"/>
          <w:sz w:val="22"/>
        </w:rPr>
        <w:t xml:space="preserve"> Supports Marine segment growth in a challenging retail environment (see Peer Commentaries).</w:t>
      </w:r>
    </w:p>
    <w:p>
      <w:r>
        <w:br w:type="page"/>
      </w:r>
    </w:p>
    <w:p>
      <w:pPr>
        <w:pStyle w:val="Heading2"/>
      </w:pPr>
      <w:r>
        <w:rPr>
          <w:rFonts w:ascii="Calibri" w:hAnsi="Calibri"/>
          <w:b/>
          <w:color w:val="3B4259"/>
          <w:sz w:val="28"/>
        </w:rPr>
        <w:t>7. Peer Commentaries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April–July 2026 window paints a </w:t>
      </w:r>
      <w:r>
        <w:rPr>
          <w:rFonts w:ascii="Calibri" w:hAnsi="Calibri"/>
          <w:b/>
          <w:color w:val="525866"/>
          <w:sz w:val="22"/>
        </w:rPr>
        <w:t>mixed but manageable</w:t>
      </w:r>
      <w:r>
        <w:rPr>
          <w:rFonts w:ascii="Calibri" w:hAnsi="Calibri"/>
          <w:color w:val="525866"/>
          <w:sz w:val="22"/>
        </w:rPr>
        <w:t xml:space="preserve"> picture for Garmin’s Q2 end markets: Marine retail demand remained soft through June (headwind for Garmin’s Marine segment), while recreational discretionary demand in North America showed resilience with Harley-Davidson raising full-year guidance (positive read-through for Outdoor and Fitness). Both peers reported on the April–June 2026 quarter, making them directly relevant to Garmin’s Q2 2026 reporting period.</w:t>
      </w:r>
    </w:p>
    <w:p>
      <w:r>
        <w:rPr>
          <w:rFonts w:ascii="Calibri" w:hAnsi="Calibri"/>
          <w:b/>
          <w:i/>
          <w:color w:val="525866"/>
          <w:sz w:val="22"/>
        </w:rPr>
        <w:t>Screening Criteria Applied:</w:t>
      </w:r>
      <w:r>
        <w:rPr>
          <w:rFonts w:ascii="Calibri" w:hAnsi="Calibri"/>
          <w:i/>
          <w:color w:val="525866"/>
          <w:sz w:val="22"/>
        </w:rPr>
        <w:t xml:space="preserve"> Only peer commentary from the last 60 days (since May 28, 2026) that addresses April–June 2026 (Q2 2026 calendar) conditions or forward outlook overlapping that period is included below. Commentary from prior-quarter earnings calls discussing prior-quarter results only has been excluded.</w:t>
      </w:r>
    </w:p>
    <w:p>
      <w:pPr>
        <w:pStyle w:val="Heading3"/>
      </w:pPr>
      <w:r>
        <w:rPr>
          <w:rFonts w:ascii="Calibri" w:hAnsi="Calibri"/>
          <w:b/>
          <w:color w:val="3B4259"/>
          <w:sz w:val="24"/>
        </w:rPr>
        <w:t>Peer #1: MarineMax (HZO) — Q3 FY2026 Earnings Call (July 23, 2026)</w:t>
      </w:r>
    </w:p>
    <w:p>
      <w:r>
        <w:rPr>
          <w:rFonts w:ascii="Calibri" w:hAnsi="Calibri"/>
          <w:b/>
          <w:color w:val="525866"/>
          <w:sz w:val="22"/>
        </w:rPr>
        <w:t xml:space="preserve">Relevance: </w:t>
      </w:r>
      <w:r>
        <w:rPr>
          <w:rFonts w:ascii="Calibri" w:hAnsi="Calibri"/>
          <w:color w:val="525866"/>
          <w:sz w:val="22"/>
        </w:rPr>
        <w:t>MarineMax is the largest US recreational boat retailer. Its fiscal Q3 covers April–June 2026 — directly overlapping Garmin’s Q2 2026. As a major channel for new boat sales (which drive Garmin OEM marine electronics) and a bellwether for aftermarket demand, HZO’s commentary is a direct read-through for Garmin’s Marine segment.</w:t>
      </w:r>
    </w:p>
    <w:p>
      <w:pPr>
        <w:pStyle w:val="Heading4"/>
      </w:pPr>
      <w:r>
        <w:rPr>
          <w:rFonts w:ascii="Calibri" w:hAnsi="Calibri"/>
          <w:b/>
          <w:color w:val="3B4259"/>
          <w:sz w:val="22"/>
        </w:rPr>
        <w:t>Key Quotes &amp; Read-Through Implications</w:t>
      </w:r>
    </w:p>
    <w:p>
      <w:pPr>
        <w:pStyle w:val="ListBullet"/>
        <w:ind w:left="360" w:hanging="360"/>
      </w:pPr>
      <w:r>
        <w:rPr>
          <w:rFonts w:ascii="Calibri" w:hAnsi="Calibri"/>
          <w:b/>
          <w:color w:val="525866"/>
          <w:sz w:val="22"/>
        </w:rPr>
        <w:t>Soft Retail Demand in April–June 2026:</w:t>
      </w:r>
      <w:r>
        <w:rPr>
          <w:rFonts w:ascii="Calibri" w:hAnsi="Calibri"/>
          <w:color w:val="525866"/>
          <w:sz w:val="22"/>
        </w:rPr>
        <w:t xml:space="preserve"> “US retail demand has remained challenged amid economic and geopolitical uncertainty, with the premium end of the market generally being more resilient in this environment.” Same-store sales declined 7%, driven primarily by lower unit sales. </w:t>
      </w:r>
      <w:r>
        <w:rPr>
          <w:rFonts w:ascii="Calibri" w:hAnsi="Calibri"/>
          <w:i/>
          <w:color w:val="525866"/>
          <w:sz w:val="22"/>
        </w:rPr>
        <w:t>Read-through:</w:t>
      </w:r>
      <w:r>
        <w:rPr>
          <w:rFonts w:ascii="Calibri" w:hAnsi="Calibri"/>
          <w:color w:val="525866"/>
          <w:sz w:val="22"/>
        </w:rPr>
        <w:t xml:space="preserve"> Headwind for Garmin’s Marine OEM revenue; however, Garmin’s premium positioning (chartplotters, sonar, navigation) aligns with the more resilient premium segment HZO highlights.</w:t>
      </w:r>
    </w:p>
    <w:p>
      <w:pPr>
        <w:pStyle w:val="ListBullet"/>
        <w:ind w:left="360" w:hanging="360"/>
      </w:pPr>
      <w:r>
        <w:rPr>
          <w:rFonts w:ascii="Calibri" w:hAnsi="Calibri"/>
          <w:b/>
          <w:color w:val="525866"/>
          <w:sz w:val="22"/>
        </w:rPr>
        <w:t>Industry Unit Volume Downgrade:</w:t>
      </w:r>
      <w:r>
        <w:rPr>
          <w:rFonts w:ascii="Calibri" w:hAnsi="Calibri"/>
          <w:color w:val="525866"/>
          <w:sz w:val="22"/>
        </w:rPr>
        <w:t xml:space="preserve"> “We now anticipate industry unit volumes will finish the year down as much as the mid-single digit range” based on continued softness in the June quarter. </w:t>
      </w:r>
      <w:r>
        <w:rPr>
          <w:rFonts w:ascii="Calibri" w:hAnsi="Calibri"/>
          <w:i/>
          <w:color w:val="525866"/>
          <w:sz w:val="22"/>
        </w:rPr>
        <w:t>Read-through:</w:t>
      </w:r>
      <w:r>
        <w:rPr>
          <w:rFonts w:ascii="Calibri" w:hAnsi="Calibri"/>
          <w:color w:val="525866"/>
          <w:sz w:val="22"/>
        </w:rPr>
        <w:t xml:space="preserve"> Negative for Garmin Marine new-boat OEM volumes; partially offset by aftermarket and upgrade demand.</w:t>
      </w:r>
    </w:p>
    <w:p>
      <w:pPr>
        <w:pStyle w:val="ListBullet"/>
        <w:ind w:left="360" w:hanging="360"/>
      </w:pPr>
      <w:r>
        <w:rPr>
          <w:rFonts w:ascii="Calibri" w:hAnsi="Calibri"/>
          <w:b/>
          <w:color w:val="525866"/>
          <w:sz w:val="22"/>
        </w:rPr>
        <w:t>Premium Segment Resilience:</w:t>
      </w:r>
      <w:r>
        <w:rPr>
          <w:rFonts w:ascii="Calibri" w:hAnsi="Calibri"/>
          <w:color w:val="525866"/>
          <w:sz w:val="22"/>
        </w:rPr>
        <w:t xml:space="preserve"> “The marine market remains highly segmented and that dynamic plays to our strengths. Demand has generally remained more resilient in premium categories.” </w:t>
      </w:r>
      <w:r>
        <w:rPr>
          <w:rFonts w:ascii="Calibri" w:hAnsi="Calibri"/>
          <w:i/>
          <w:color w:val="525866"/>
          <w:sz w:val="22"/>
        </w:rPr>
        <w:t>Read-through:</w:t>
      </w:r>
      <w:r>
        <w:rPr>
          <w:rFonts w:ascii="Calibri" w:hAnsi="Calibri"/>
          <w:color w:val="525866"/>
          <w:sz w:val="22"/>
        </w:rPr>
        <w:t xml:space="preserve"> Positive for Garmin, which is concentrated in premium marine electronics. Garmin’s Q1 Marine revenue of $355M (+11% YoY) already demonstrated this dynamic.</w:t>
      </w:r>
    </w:p>
    <w:p>
      <w:pPr>
        <w:pStyle w:val="ListBullet"/>
        <w:ind w:left="360" w:hanging="360"/>
      </w:pPr>
      <w:r>
        <w:rPr>
          <w:rFonts w:ascii="Calibri" w:hAnsi="Calibri"/>
          <w:b/>
          <w:color w:val="525866"/>
          <w:sz w:val="22"/>
        </w:rPr>
        <w:t>Used Boat Market Strength:</w:t>
      </w:r>
      <w:r>
        <w:rPr>
          <w:rFonts w:ascii="Calibri" w:hAnsi="Calibri"/>
          <w:color w:val="525866"/>
          <w:sz w:val="22"/>
        </w:rPr>
        <w:t xml:space="preserve"> “Late model used boats are a pretty hot commodity” with improving turns and margins. HZO launched a certified pre-owned program with “early success.” </w:t>
      </w:r>
      <w:r>
        <w:rPr>
          <w:rFonts w:ascii="Calibri" w:hAnsi="Calibri"/>
          <w:i/>
          <w:color w:val="525866"/>
          <w:sz w:val="22"/>
        </w:rPr>
        <w:t>Read-through:</w:t>
      </w:r>
      <w:r>
        <w:rPr>
          <w:rFonts w:ascii="Calibri" w:hAnsi="Calibri"/>
          <w:color w:val="525866"/>
          <w:sz w:val="22"/>
        </w:rPr>
        <w:t xml:space="preserve"> Used boat activity drives aftermarket electronics upgrades — a positive for Garmin’s Marine aftermarket business.</w:t>
      </w:r>
    </w:p>
    <w:p>
      <w:pPr>
        <w:pStyle w:val="ListBullet"/>
        <w:ind w:left="360" w:hanging="360"/>
      </w:pPr>
      <w:r>
        <w:rPr>
          <w:rFonts w:ascii="Calibri" w:hAnsi="Calibri"/>
          <w:b/>
          <w:color w:val="525866"/>
          <w:sz w:val="22"/>
        </w:rPr>
        <w:t>Inventory Normalization:</w:t>
      </w:r>
      <w:r>
        <w:rPr>
          <w:rFonts w:ascii="Calibri" w:hAnsi="Calibri"/>
          <w:color w:val="525866"/>
          <w:sz w:val="22"/>
        </w:rPr>
        <w:t xml:space="preserve"> Inventories declined ~$118M from prior year; “continued normalization of inventory is an important positive development that should support a healthier operating environment over time.” </w:t>
      </w:r>
      <w:r>
        <w:rPr>
          <w:rFonts w:ascii="Calibri" w:hAnsi="Calibri"/>
          <w:i/>
          <w:color w:val="525866"/>
          <w:sz w:val="22"/>
        </w:rPr>
        <w:t>Read-through:</w:t>
      </w:r>
      <w:r>
        <w:rPr>
          <w:rFonts w:ascii="Calibri" w:hAnsi="Calibri"/>
          <w:color w:val="525866"/>
          <w:sz w:val="22"/>
        </w:rPr>
        <w:t xml:space="preserve"> Healthier channel inventory reduces risk of dealer destocking that could pressure Garmin Marine orders.</w:t>
      </w:r>
    </w:p>
    <w:p>
      <w:pPr>
        <w:pStyle w:val="ListBullet"/>
        <w:ind w:left="360" w:hanging="360"/>
      </w:pPr>
      <w:r>
        <w:rPr>
          <w:rFonts w:ascii="Calibri" w:hAnsi="Calibri"/>
          <w:b/>
          <w:color w:val="525866"/>
          <w:sz w:val="22"/>
        </w:rPr>
        <w:t>July Trends Consistent with May/June:</w:t>
      </w:r>
      <w:r>
        <w:rPr>
          <w:rFonts w:ascii="Calibri" w:hAnsi="Calibri"/>
          <w:color w:val="525866"/>
          <w:sz w:val="22"/>
        </w:rPr>
        <w:t xml:space="preserve"> “As for July, trends have remained consistent with what we experienced in May and June. Demand continues to be uneven, with periods of stronger activity followed by softer stretches.” </w:t>
      </w:r>
      <w:r>
        <w:rPr>
          <w:rFonts w:ascii="Calibri" w:hAnsi="Calibri"/>
          <w:i/>
          <w:color w:val="525866"/>
          <w:sz w:val="22"/>
        </w:rPr>
        <w:t>Read-through:</w:t>
      </w:r>
      <w:r>
        <w:rPr>
          <w:rFonts w:ascii="Calibri" w:hAnsi="Calibri"/>
          <w:color w:val="525866"/>
          <w:sz w:val="22"/>
        </w:rPr>
        <w:t xml:space="preserve"> No acceleration into Q3 2026; Marine segment likely to remain a modest contributor rather than a growth driver.</w:t>
      </w:r>
    </w:p>
    <w:p>
      <w:r>
        <w:rPr>
          <w:rFonts w:ascii="Calibri" w:hAnsi="Calibri"/>
          <w:b/>
          <w:color w:val="525866"/>
          <w:sz w:val="22"/>
        </w:rPr>
        <w:t xml:space="preserve">Overall Marine Read-Through: </w:t>
      </w:r>
      <w:r>
        <w:rPr>
          <w:rFonts w:ascii="Calibri" w:hAnsi="Calibri"/>
          <w:color w:val="525866"/>
          <w:sz w:val="22"/>
        </w:rPr>
        <w:t>Modestly negative for Garmin’s Marine segment in Q2 2026. Consensus already expects Marine revenue of ~$320M (vs. $355M in Q1 and $299M in Q2 2025), implying the Street has partially de-risked the segment. The premium/aftermarket mix and inventory normalization are partial offsets.</w:t>
      </w:r>
    </w:p>
    <w:p>
      <w:r>
        <w:rPr>
          <w:rFonts w:ascii="Calibri" w:hAnsi="Calibri"/>
          <w:i/>
          <w:color w:val="525866"/>
          <w:sz w:val="22"/>
        </w:rPr>
        <w:t>Source: MarineMax (HZO) Q3 FY2026 Earnings Call Transcript, July 23, 2026.</w:t>
      </w:r>
    </w:p>
    <w:p>
      <w:pPr>
        <w:pStyle w:val="Heading3"/>
      </w:pPr>
      <w:r>
        <w:rPr>
          <w:rFonts w:ascii="Calibri" w:hAnsi="Calibri"/>
          <w:b/>
          <w:color w:val="3B4259"/>
          <w:sz w:val="24"/>
        </w:rPr>
        <w:t>Peer #2: Harley-Davidson (HOG) — Q2 2026 Earnings Call (July 23, 2026)</w:t>
      </w:r>
    </w:p>
    <w:p>
      <w:r>
        <w:rPr>
          <w:rFonts w:ascii="Calibri" w:hAnsi="Calibri"/>
          <w:b/>
          <w:color w:val="525866"/>
          <w:sz w:val="22"/>
        </w:rPr>
        <w:t xml:space="preserve">Relevance: </w:t>
      </w:r>
      <w:r>
        <w:rPr>
          <w:rFonts w:ascii="Calibri" w:hAnsi="Calibri"/>
          <w:color w:val="525866"/>
          <w:sz w:val="22"/>
        </w:rPr>
        <w:t>Harley-Davidson’s Q2 2026 covers April–June 2026, directly overlapping Garmin’s Q2 2026. As a major recreational discretionary brand with significant North American and international exposure, HOG’s commentary provides a read-through for the broader consumer discretionary environment relevant to Garmin’s Outdoor, Fitness, and Marine segments.</w:t>
      </w:r>
    </w:p>
    <w:p>
      <w:pPr>
        <w:pStyle w:val="Heading4"/>
      </w:pPr>
      <w:r>
        <w:rPr>
          <w:rFonts w:ascii="Calibri" w:hAnsi="Calibri"/>
          <w:b/>
          <w:color w:val="3B4259"/>
          <w:sz w:val="22"/>
        </w:rPr>
        <w:t>Key Quotes &amp; Read-Through Implications</w:t>
      </w:r>
    </w:p>
    <w:p>
      <w:pPr>
        <w:pStyle w:val="ListBullet"/>
        <w:ind w:left="360" w:hanging="360"/>
      </w:pPr>
      <w:r>
        <w:rPr>
          <w:rFonts w:ascii="Calibri" w:hAnsi="Calibri"/>
          <w:b/>
          <w:color w:val="525866"/>
          <w:sz w:val="22"/>
        </w:rPr>
        <w:t>North America Retail Strength:</w:t>
      </w:r>
      <w:r>
        <w:rPr>
          <w:rFonts w:ascii="Calibri" w:hAnsi="Calibri"/>
          <w:color w:val="525866"/>
          <w:sz w:val="22"/>
        </w:rPr>
        <w:t xml:space="preserve"> “Domestic retail remains strong, with North America retail up 3%, the third consecutive year over year quarter of retail growth in North America.” CEO characterized the North American retail environment as “good.” </w:t>
      </w:r>
      <w:r>
        <w:rPr>
          <w:rFonts w:ascii="Calibri" w:hAnsi="Calibri"/>
          <w:i/>
          <w:color w:val="525866"/>
          <w:sz w:val="22"/>
        </w:rPr>
        <w:t>Read-through:</w:t>
      </w:r>
      <w:r>
        <w:rPr>
          <w:rFonts w:ascii="Calibri" w:hAnsi="Calibri"/>
          <w:color w:val="525866"/>
          <w:sz w:val="22"/>
        </w:rPr>
        <w:t xml:space="preserve"> Positive for Garmin’s North American Outdoor and Fitness segments; suggests the US consumer remains engaged with premium recreational products.</w:t>
      </w:r>
    </w:p>
    <w:p>
      <w:pPr>
        <w:pStyle w:val="ListBullet"/>
        <w:ind w:left="360" w:hanging="360"/>
      </w:pPr>
      <w:r>
        <w:rPr>
          <w:rFonts w:ascii="Calibri" w:hAnsi="Calibri"/>
          <w:b/>
          <w:color w:val="525866"/>
          <w:sz w:val="22"/>
        </w:rPr>
        <w:t>Business Stabilization:</w:t>
      </w:r>
      <w:r>
        <w:rPr>
          <w:rFonts w:ascii="Calibri" w:hAnsi="Calibri"/>
          <w:color w:val="525866"/>
          <w:sz w:val="22"/>
        </w:rPr>
        <w:t xml:space="preserve"> “Our results reflect the business that we believe is beginning to stabilize, and a team that is executing with greater focus.” </w:t>
      </w:r>
      <w:r>
        <w:rPr>
          <w:rFonts w:ascii="Calibri" w:hAnsi="Calibri"/>
          <w:i/>
          <w:color w:val="525866"/>
          <w:sz w:val="22"/>
        </w:rPr>
        <w:t>Read-through:</w:t>
      </w:r>
      <w:r>
        <w:rPr>
          <w:rFonts w:ascii="Calibri" w:hAnsi="Calibri"/>
          <w:color w:val="525866"/>
          <w:sz w:val="22"/>
        </w:rPr>
        <w:t xml:space="preserve"> Broader recreational discretionary stabilization is a positive backdrop for Garmin.</w:t>
      </w:r>
    </w:p>
    <w:p>
      <w:pPr>
        <w:pStyle w:val="ListBullet"/>
        <w:ind w:left="360" w:hanging="360"/>
      </w:pPr>
      <w:r>
        <w:rPr>
          <w:rFonts w:ascii="Calibri" w:hAnsi="Calibri"/>
          <w:b/>
          <w:color w:val="525866"/>
          <w:sz w:val="22"/>
        </w:rPr>
        <w:t>Strong New Product Sell-Through:</w:t>
      </w:r>
      <w:r>
        <w:rPr>
          <w:rFonts w:ascii="Calibri" w:hAnsi="Calibri"/>
          <w:color w:val="525866"/>
          <w:sz w:val="22"/>
        </w:rPr>
        <w:t xml:space="preserve"> “Sell through on Super Glide has been strong, dealer enthusiasm has been high, and MSRP realization is among the strongest we have seen in some time.” </w:t>
      </w:r>
      <w:r>
        <w:rPr>
          <w:rFonts w:ascii="Calibri" w:hAnsi="Calibri"/>
          <w:i/>
          <w:color w:val="525866"/>
          <w:sz w:val="22"/>
        </w:rPr>
        <w:t>Read-through:</w:t>
      </w:r>
      <w:r>
        <w:rPr>
          <w:rFonts w:ascii="Calibri" w:hAnsi="Calibri"/>
          <w:color w:val="525866"/>
          <w:sz w:val="22"/>
        </w:rPr>
        <w:t xml:space="preserve"> Consumers are willing to pay full price for desirable new recreational products — consistent with Garmin’s premium pricing power in advanced wearables and Outdoor devices.</w:t>
      </w:r>
    </w:p>
    <w:p>
      <w:pPr>
        <w:pStyle w:val="ListBullet"/>
        <w:ind w:left="360" w:hanging="360"/>
      </w:pPr>
      <w:r>
        <w:rPr>
          <w:rFonts w:ascii="Calibri" w:hAnsi="Calibri"/>
          <w:b/>
          <w:color w:val="525866"/>
          <w:sz w:val="22"/>
        </w:rPr>
        <w:t>EMEA Weakness:</w:t>
      </w:r>
      <w:r>
        <w:rPr>
          <w:rFonts w:ascii="Calibri" w:hAnsi="Calibri"/>
          <w:color w:val="525866"/>
          <w:sz w:val="22"/>
        </w:rPr>
        <w:t xml:space="preserve"> “In EMEA, Q2 retail sales posted a decline of 9%, which was more challenged than what we saw in Q1. Europe remains a challenging market.” </w:t>
      </w:r>
      <w:r>
        <w:rPr>
          <w:rFonts w:ascii="Calibri" w:hAnsi="Calibri"/>
          <w:i/>
          <w:color w:val="525866"/>
          <w:sz w:val="22"/>
        </w:rPr>
        <w:t>Read-through:</w:t>
      </w:r>
      <w:r>
        <w:rPr>
          <w:rFonts w:ascii="Calibri" w:hAnsi="Calibri"/>
          <w:color w:val="525866"/>
          <w:sz w:val="22"/>
        </w:rPr>
        <w:t xml:space="preserve"> Potential headwind for Garmin’s EMEA segment, which grew 15% in Q1 2026 aided by favorable FX. Watch for any moderation in EMEA growth in Q2.</w:t>
      </w:r>
    </w:p>
    <w:p>
      <w:pPr>
        <w:pStyle w:val="ListBullet"/>
        <w:ind w:left="360" w:hanging="360"/>
      </w:pPr>
      <w:r>
        <w:rPr>
          <w:rFonts w:ascii="Calibri" w:hAnsi="Calibri"/>
          <w:b/>
          <w:color w:val="525866"/>
          <w:sz w:val="22"/>
        </w:rPr>
        <w:t>Used Market Residuals Extremely Strong:</w:t>
      </w:r>
      <w:r>
        <w:rPr>
          <w:rFonts w:ascii="Calibri" w:hAnsi="Calibri"/>
          <w:color w:val="525866"/>
          <w:sz w:val="22"/>
        </w:rPr>
        <w:t xml:space="preserve"> “The used bike market residuals are extremely strong” with improving trends over the past year. </w:t>
      </w:r>
      <w:r>
        <w:rPr>
          <w:rFonts w:ascii="Calibri" w:hAnsi="Calibri"/>
          <w:i/>
          <w:color w:val="525866"/>
          <w:sz w:val="22"/>
        </w:rPr>
        <w:t>Read-through:</w:t>
      </w:r>
      <w:r>
        <w:rPr>
          <w:rFonts w:ascii="Calibri" w:hAnsi="Calibri"/>
          <w:color w:val="525866"/>
          <w:sz w:val="22"/>
        </w:rPr>
        <w:t xml:space="preserve"> Strong residual values for durable recreational goods suggest underlying demand health — positive for Garmin’s premium product positioning.</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HOG increased FY2026 retail unit guidance and wholesale unit guidance, expecting “retail and wholesale to continue to have a largely 1 to 1 relationship for the rest of 2026.” </w:t>
      </w:r>
      <w:r>
        <w:rPr>
          <w:rFonts w:ascii="Calibri" w:hAnsi="Calibri"/>
          <w:i/>
          <w:color w:val="525866"/>
          <w:sz w:val="22"/>
        </w:rPr>
        <w:t>Read-through:</w:t>
      </w:r>
      <w:r>
        <w:rPr>
          <w:rFonts w:ascii="Calibri" w:hAnsi="Calibri"/>
          <w:color w:val="525866"/>
          <w:sz w:val="22"/>
        </w:rPr>
        <w:t xml:space="preserve"> A major recreational discretionary company raising guidance is a positive signal for the broader end market environment heading into Garmin’s Q2 print.</w:t>
      </w:r>
    </w:p>
    <w:p>
      <w:pPr>
        <w:pStyle w:val="ListBullet"/>
        <w:ind w:left="360" w:hanging="360"/>
      </w:pPr>
      <w:r>
        <w:rPr>
          <w:rFonts w:ascii="Calibri" w:hAnsi="Calibri"/>
          <w:b/>
          <w:color w:val="525866"/>
          <w:sz w:val="22"/>
        </w:rPr>
        <w:t>Macro Caution Maintained:</w:t>
      </w:r>
      <w:r>
        <w:rPr>
          <w:rFonts w:ascii="Calibri" w:hAnsi="Calibri"/>
          <w:color w:val="525866"/>
          <w:sz w:val="22"/>
        </w:rPr>
        <w:t xml:space="preserve"> “We remain mindful of the global consumer discretionary landscape, which remains uneven. That includes inflationary pressures, interest rates that continue to run above recent historical lows and global geopolitical uncertainty.” </w:t>
      </w:r>
      <w:r>
        <w:rPr>
          <w:rFonts w:ascii="Calibri" w:hAnsi="Calibri"/>
          <w:i/>
          <w:color w:val="525866"/>
          <w:sz w:val="22"/>
        </w:rPr>
        <w:t>Read-through:</w:t>
      </w:r>
      <w:r>
        <w:rPr>
          <w:rFonts w:ascii="Calibri" w:hAnsi="Calibri"/>
          <w:color w:val="525866"/>
          <w:sz w:val="22"/>
        </w:rPr>
        <w:t xml:space="preserve"> Consistent with Garmin management’s own characterization of “economic whiplash and geopolitical uncertainty” — not a new risk, and Garmin’s customer base is described as more resilient than average.</w:t>
      </w:r>
    </w:p>
    <w:p>
      <w:r>
        <w:rPr>
          <w:rFonts w:ascii="Calibri" w:hAnsi="Calibri"/>
          <w:b/>
          <w:color w:val="525866"/>
          <w:sz w:val="22"/>
        </w:rPr>
        <w:t xml:space="preserve">Overall Recreational Discretionary Read-Through: </w:t>
      </w:r>
      <w:r>
        <w:rPr>
          <w:rFonts w:ascii="Calibri" w:hAnsi="Calibri"/>
          <w:color w:val="525866"/>
          <w:sz w:val="22"/>
        </w:rPr>
        <w:t>Modestly positive for Garmin’s Outdoor and Fitness segments. North American consumer demand for premium recreational products remains healthy, new product sell-through is strong, and a major peer raised full-year guidance. EMEA softness is a watch item given Garmin’s 15% EMEA growth in Q1.</w:t>
      </w:r>
    </w:p>
    <w:p>
      <w:r>
        <w:rPr>
          <w:rFonts w:ascii="Calibri" w:hAnsi="Calibri"/>
          <w:i/>
          <w:color w:val="525866"/>
          <w:sz w:val="22"/>
        </w:rPr>
        <w:t>Source: Harley-Davidson (HOG) Q2 2026 Earnings Call Transcript, July 23, 2026.</w:t>
      </w:r>
    </w:p>
    <w:p>
      <w:pPr>
        <w:pStyle w:val="Heading3"/>
      </w:pPr>
      <w:r>
        <w:rPr>
          <w:rFonts w:ascii="Calibri" w:hAnsi="Calibri"/>
          <w:b/>
          <w:color w:val="3B4259"/>
          <w:sz w:val="24"/>
        </w:rPr>
        <w:t>Excluded Peer Reports (Did Not Meet Screening Criteria)</w:t>
      </w:r>
    </w:p>
    <w:p>
      <w:r>
        <w:rPr>
          <w:rFonts w:ascii="Calibri" w:hAnsi="Calibri"/>
          <w:color w:val="525866"/>
          <w:sz w:val="22"/>
        </w:rPr>
        <w:t>The following peer reports were identified but excluded because they addressed prior-quarter results only and did not contain commentary about April–June 2026 (Garmin’s Q2 2026) conditions or forward outlook overlapping that period:</w:t>
      </w:r>
    </w:p>
    <w:p>
      <w:pPr>
        <w:pStyle w:val="ListBullet"/>
        <w:ind w:left="360" w:hanging="360"/>
      </w:pPr>
      <w:r>
        <w:rPr>
          <w:rFonts w:ascii="Calibri" w:hAnsi="Calibri"/>
          <w:b/>
          <w:color w:val="525866"/>
          <w:sz w:val="22"/>
        </w:rPr>
        <w:t>Brunswick Corporation (BC) — Q1 2026 Earnings Call (April 30, 2026):</w:t>
      </w:r>
      <w:r>
        <w:rPr>
          <w:rFonts w:ascii="Calibri" w:hAnsi="Calibri"/>
          <w:color w:val="525866"/>
          <w:sz w:val="22"/>
        </w:rPr>
        <w:t xml:space="preserve"> Covered January–March 2026 results. While Brunswick is a relevant marine peer (boats, marine engines, marine electronics), this call predates Garmin’s Q2 2026 period and its commentary pertained to Q1 2026 conditions. Brunswick has not yet reported Q2 2026 results (scheduled for late July/early August 2026). Excluded.</w:t>
      </w:r>
    </w:p>
    <w:p>
      <w:pPr>
        <w:pStyle w:val="ListBullet"/>
        <w:ind w:left="360" w:hanging="360"/>
      </w:pPr>
      <w:r>
        <w:rPr>
          <w:rFonts w:ascii="Calibri" w:hAnsi="Calibri"/>
          <w:b/>
          <w:color w:val="525866"/>
          <w:sz w:val="22"/>
        </w:rPr>
        <w:t>MasterCraft Boat Holdings (MCFT) — Q3 FY2026 Earnings Call (May 7, 2026):</w:t>
      </w:r>
      <w:r>
        <w:rPr>
          <w:rFonts w:ascii="Calibri" w:hAnsi="Calibri"/>
          <w:color w:val="525866"/>
          <w:sz w:val="22"/>
        </w:rPr>
        <w:t xml:space="preserve"> MCFT’s fiscal Q3 covers January–March 2026, not April–June 2026. Commentary addressed conditions through March 2026 only. Excluded as it does not overlap with Garmin’s Q2 2026 reporting period.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earnings date is limited to routine sales — one 10b5-1 planned sale by the CFO and two discretionary sales by a Director and VP of HR. </w:t>
      </w:r>
      <w:r>
        <w:rPr>
          <w:rFonts w:ascii="Calibri" w:hAnsi="Calibri"/>
          <w:b/>
          <w:color w:val="525866"/>
          <w:sz w:val="22"/>
        </w:rPr>
        <w:t>No open-market purchases</w:t>
      </w:r>
      <w:r>
        <w:rPr>
          <w:rFonts w:ascii="Calibri" w:hAnsi="Calibri"/>
          <w:color w:val="525866"/>
          <w:sz w:val="22"/>
        </w:rPr>
        <w:t xml:space="preserve"> have been filed. The absence of buying is not alarming given the stock’s proximity to all-time highs and the family-controlled ownership structure, but the lack of insider conviction buys is a neutral-to-slightly-negative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Douglas G. Boessen</w:t>
            </w:r>
          </w:p>
        </w:tc>
        <w:tc>
          <w:tcPr>
            <w:tcW w:type="dxa" w:w="1440"/>
          </w:tcPr>
          <w:p>
            <w:r>
              <w:rPr>
                <w:rFonts w:ascii="Calibri" w:hAnsi="Calibri"/>
                <w:sz w:val="22"/>
              </w:rPr>
              <w:t>CFO &amp; Treasurer</w:t>
            </w:r>
          </w:p>
        </w:tc>
        <w:tc>
          <w:tcPr>
            <w:tcW w:type="dxa" w:w="1440"/>
          </w:tcPr>
          <w:p>
            <w:r>
              <w:rPr>
                <w:rFonts w:ascii="Calibri" w:hAnsi="Calibri"/>
                <w:sz w:val="22"/>
              </w:rPr>
              <w:t>10b5-1 Planned Sale</w:t>
            </w:r>
          </w:p>
        </w:tc>
        <w:tc>
          <w:tcPr>
            <w:tcW w:type="dxa" w:w="1440"/>
          </w:tcPr>
          <w:p>
            <w:r>
              <w:rPr>
                <w:rFonts w:ascii="Calibri" w:hAnsi="Calibri"/>
                <w:sz w:val="22"/>
              </w:rPr>
              <w:t>2,000 shares</w:t>
            </w:r>
          </w:p>
        </w:tc>
        <w:tc>
          <w:tcPr>
            <w:tcW w:type="dxa" w:w="1440"/>
          </w:tcPr>
          <w:p>
            <w:r>
              <w:rPr>
                <w:rFonts w:ascii="Calibri" w:hAnsi="Calibri"/>
                <w:sz w:val="22"/>
              </w:rPr>
              <w:t>June 5, 2026</w:t>
            </w:r>
          </w:p>
        </w:tc>
        <w:tc>
          <w:tcPr>
            <w:tcW w:type="dxa" w:w="1440"/>
          </w:tcPr>
          <w:p>
            <w:r>
              <w:rPr>
                <w:rFonts w:ascii="Calibri" w:hAnsi="Calibri"/>
                <w:sz w:val="22"/>
              </w:rPr>
              <w:t>Pre-planned sale under 10b5-1 plan; routine/obligation-driven; 26,049 shares retained post-transaction</w:t>
            </w:r>
          </w:p>
        </w:tc>
      </w:tr>
      <w:tr>
        <w:tc>
          <w:tcPr>
            <w:tcW w:type="dxa" w:w="1440"/>
          </w:tcPr>
          <w:p>
            <w:r>
              <w:rPr>
                <w:rFonts w:ascii="Calibri" w:hAnsi="Calibri"/>
                <w:sz w:val="22"/>
              </w:rPr>
              <w:t>Joseph J. Hartnett</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643 shares</w:t>
            </w:r>
          </w:p>
        </w:tc>
        <w:tc>
          <w:tcPr>
            <w:tcW w:type="dxa" w:w="1440"/>
          </w:tcPr>
          <w:p>
            <w:r>
              <w:rPr>
                <w:rFonts w:ascii="Calibri" w:hAnsi="Calibri"/>
                <w:sz w:val="22"/>
              </w:rPr>
              <w:t>June 9, 2026</w:t>
            </w:r>
          </w:p>
        </w:tc>
        <w:tc>
          <w:tcPr>
            <w:tcW w:type="dxa" w:w="1440"/>
          </w:tcPr>
          <w:p>
            <w:r>
              <w:rPr>
                <w:rFonts w:ascii="Calibri" w:hAnsi="Calibri"/>
                <w:sz w:val="22"/>
              </w:rPr>
              <w:t>Discretionary sale; small size relative to 21,277 shares retained; not flagged as 10b5-1</w:t>
            </w:r>
          </w:p>
        </w:tc>
      </w:tr>
      <w:tr>
        <w:tc>
          <w:tcPr>
            <w:tcW w:type="dxa" w:w="1440"/>
          </w:tcPr>
          <w:p>
            <w:r>
              <w:rPr>
                <w:rFonts w:ascii="Calibri" w:hAnsi="Calibri"/>
                <w:sz w:val="22"/>
              </w:rPr>
              <w:t>Laurie A. Minard</w:t>
            </w:r>
          </w:p>
        </w:tc>
        <w:tc>
          <w:tcPr>
            <w:tcW w:type="dxa" w:w="1440"/>
          </w:tcPr>
          <w:p>
            <w:r>
              <w:rPr>
                <w:rFonts w:ascii="Calibri" w:hAnsi="Calibri"/>
                <w:sz w:val="22"/>
              </w:rPr>
              <w:t>VP, Human Resources</w:t>
            </w:r>
          </w:p>
        </w:tc>
        <w:tc>
          <w:tcPr>
            <w:tcW w:type="dxa" w:w="1440"/>
          </w:tcPr>
          <w:p>
            <w:r>
              <w:rPr>
                <w:rFonts w:ascii="Calibri" w:hAnsi="Calibri"/>
                <w:sz w:val="22"/>
              </w:rPr>
              <w:t>Open Market Sale</w:t>
            </w:r>
          </w:p>
        </w:tc>
        <w:tc>
          <w:tcPr>
            <w:tcW w:type="dxa" w:w="1440"/>
          </w:tcPr>
          <w:p>
            <w:r>
              <w:rPr>
                <w:rFonts w:ascii="Calibri" w:hAnsi="Calibri"/>
                <w:sz w:val="22"/>
              </w:rPr>
              <w:t>1,084 shares</w:t>
            </w:r>
          </w:p>
        </w:tc>
        <w:tc>
          <w:tcPr>
            <w:tcW w:type="dxa" w:w="1440"/>
          </w:tcPr>
          <w:p>
            <w:r>
              <w:rPr>
                <w:rFonts w:ascii="Calibri" w:hAnsi="Calibri"/>
                <w:sz w:val="22"/>
              </w:rPr>
              <w:t>May 8, 2026</w:t>
            </w:r>
          </w:p>
        </w:tc>
        <w:tc>
          <w:tcPr>
            <w:tcW w:type="dxa" w:w="1440"/>
          </w:tcPr>
          <w:p>
            <w:r>
              <w:rPr>
                <w:rFonts w:ascii="Calibri" w:hAnsi="Calibri"/>
                <w:sz w:val="22"/>
              </w:rPr>
              <w:t>Discretionary sale; represents ~22% of her 4,869 pre-transaction holdings; notable size relative to position</w:t>
            </w:r>
          </w:p>
        </w:tc>
      </w:tr>
    </w:tbl>
    <w:p>
      <w:r>
        <w:rPr>
          <w:rFonts w:ascii="Calibri" w:hAnsi="Calibri"/>
          <w:color w:val="525866"/>
          <w:sz w:val="22"/>
        </w:rPr>
        <w:t>Nothing stands out as a red flag: the CFO’s sale is pre-planned (10b5-1), the Director’s sale is small relative to his retained position, and the VP HR sale, while representing a meaningful percentage of her holdings, is consistent with normal executive liquidity management. No clustered selling by senior leadership (CEO, President, or multiple C-suite executives simultaneously) has been observed. The absence of open-market purchases by insiders is noted but not unusual given Garmin’s family-controlled ownership structure (the Pemble and Min families retain significant stakes through indirect holdings).</w:t>
      </w:r>
    </w:p>
    <w:p>
      <w:r>
        <w:rPr>
          <w:rFonts w:ascii="Calibri" w:hAnsi="Calibri"/>
          <w:i/>
          <w:color w:val="525866"/>
          <w:sz w:val="22"/>
        </w:rPr>
        <w:t>Source: SEC Form 4 Filings — Hartnett Joseph J (filed June 9, 2026); Boessen Douglas G. (filed June 8, 2026, transaction June 5, 2026); MINARD LAURIE A (filed May 8, 2026). Insider Transaction Data via SEC EDGAR.</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