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i-earnings-predictions--2026-07-30"/>
    <w:p>
      <w:pPr>
        <w:pStyle w:val="Heading1"/>
      </w:pPr>
      <w:r>
        <w:t xml:space="preserve">HII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Shipbuilding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2.40B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Shipbuilding operating margin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~5.5% vs. cons ~5.8%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(diluted)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3.85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shipbuilding revenue guide (raise?)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9.7</m:t>
              </m:r>
              <m:r>
                <m:rPr>
                  <m:sty m:val="p"/>
                </m:rPr>
                <m:t>–</m:t>
              </m:r>
              <m:r>
                <m:t>9.9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9.85B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 cash flow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500</m:t>
              </m:r>
              <m:r>
                <m:rPr>
                  <m:sty m:val="p"/>
                </m:rPr>
                <m:t>–</m:t>
              </m:r>
              <m:r>
                <m:t>600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550M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Virginia Block VI / Columbia sub award &amp; backlog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backlog ~</w:t>
            </w:r>
            <m:oMath>
              <m:r>
                <m:t>54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57B if award books (Q2/H2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free cash flow (reported, timing-driven YoY drop)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+</m:t>
              </m:r>
            </m:oMath>
            <w:r>
              <w:t xml:space="preserve">50M (Q2, vs +$730M PY)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Low bar (stock ~37% off highs, de-risked -4% into print) supports a modest day-1 relief pop on the shipbuilding revenue beat and structural-demand narrative. But the beat is volume/timing-driven while shipbuilding margins (LHA-8/CVN-79) stay soft, Q2 FCF is near break-even vs +$730M PY, and management is likely to reaffirm rather than raise FY guide — so out-period estimates don't move up (the reaffirm mathematically implies flat-to-down H2 shipbuilding). With the marquee submarine award risk of slipping again, the pop fades as revisions stay flat-to-down and margin/cash skepticism reasserts.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2026-07-29T18:43:31Z</dcterms:created>
  <dcterms:modified xsi:type="dcterms:W3CDTF">2026-07-29T18:43:31Z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